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IOWA AFTERCARE SERVICES RENT SUBSIDY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265—22.1</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Purpose. </w:t>
      </w:r>
      <w:r>
        <w:rPr>
          <w:rFonts w:ascii="Times New Roman" w:hAnsi="Times New Roman"/>
          <w:b w:val="false"/>
          <w:i w:val="false"/>
          <w:color w:val="000000"/>
          <w:sz w:val="22"/>
        </w:rPr>
        <w:t>Through the Iowa aftercare services rent subsidy program (program), the authority, working with the department of human services, seeks to assist youth who are participating in the department of human services’ program of aftercare services for former foster care recipients. The program also includes a transitional apartment subsidy for agencies that provide housing and life skills training for these youth.</w:t>
      </w:r>
    </w:p>
    <w:p>
      <w:pPr>
        <w:spacing w:before="0" w:after="0"/>
        <w:ind w:left="120"/>
        <w:jc w:val="both"/>
      </w:pPr>
      <w:r>
        <w:rPr>
          <w:rFonts w:ascii="Times New Roman" w:hAnsi="Times New Roman"/>
          <w:b/>
          <w:i w:val="false"/>
          <w:color w:val="000000"/>
          <w:sz w:val="22"/>
        </w:rPr>
        <w:t>265—22.2</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“Aftercare services” </w:t>
      </w:r>
      <w:r>
        <w:rPr>
          <w:rFonts w:ascii="Times New Roman" w:hAnsi="Times New Roman"/>
          <w:b w:val="false"/>
          <w:i w:val="false"/>
          <w:color w:val="000000"/>
          <w:sz w:val="22"/>
        </w:rPr>
        <w:t>means activities established in an individualized service plan developed with a self-sufficiency advocate which complement the youth’s own efforts in achieving self-sufficiency, such as linking to appropriate community resources and having a safe and stable place to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contractor or subcontractor of the department of human services’ program of aftercare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unit” </w:t>
      </w:r>
      <w:r>
        <w:rPr>
          <w:rFonts w:ascii="Times New Roman" w:hAnsi="Times New Roman"/>
          <w:b w:val="false"/>
          <w:i w:val="false"/>
          <w:color w:val="000000"/>
          <w:sz w:val="22"/>
        </w:rPr>
        <w:t xml:space="preserve">means an apartment, mobile home, or private room for which a signed, written lease exists and which is governed by Iowa Code chapter </w:t>
      </w:r>
      <w:hyperlink r:id="rId5">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“Self-sufficiency advocate” </w:t>
      </w:r>
      <w:r>
        <w:rPr>
          <w:rFonts w:ascii="Times New Roman" w:hAnsi="Times New Roman"/>
          <w:b w:val="false"/>
          <w:i w:val="false"/>
          <w:color w:val="000000"/>
          <w:sz w:val="22"/>
        </w:rPr>
        <w:t>means an employee of the organization, designated by the organization as a case manager to assist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“Transitional apartment” </w:t>
      </w:r>
      <w:r>
        <w:rPr>
          <w:rFonts w:ascii="Times New Roman" w:hAnsi="Times New Roman"/>
          <w:b w:val="false"/>
          <w:i w:val="false"/>
          <w:color w:val="000000"/>
          <w:sz w:val="22"/>
        </w:rPr>
        <w:t>means a rental unit, rented by the organization to the youth and used to provide housing and life skills training required to assist the youth to recognize and accept the personal responsibility related to being a renter.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“Youth” </w:t>
      </w:r>
      <w:r>
        <w:rPr>
          <w:rFonts w:ascii="Times New Roman" w:hAnsi="Times New Roman"/>
          <w:b w:val="false"/>
          <w:i w:val="false"/>
          <w:color w:val="000000"/>
          <w:sz w:val="22"/>
        </w:rPr>
        <w:t>means a person at least 18 but not yet 21 years of age who has left foster care on or after the person’s eighteenth birthday, and who is participating in the program of aftercare services.</w:t>
      </w:r>
    </w:p>
    <w:p>
      <w:pPr>
        <w:spacing w:before="0" w:after="0"/>
        <w:ind w:left="120"/>
        <w:jc w:val="both"/>
      </w:pPr>
      <w:r>
        <w:rPr>
          <w:rFonts w:ascii="Times New Roman" w:hAnsi="Times New Roman"/>
          <w:b/>
          <w:i w:val="false"/>
          <w:color w:val="000000"/>
          <w:sz w:val="22"/>
        </w:rPr>
        <w:t>265—22.3</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Eligibility requirements for direct rent subsidy.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Aftercare services participant. </w:t>
      </w:r>
      <w:r>
        <w:rPr>
          <w:rFonts w:ascii="Times New Roman" w:hAnsi="Times New Roman"/>
          <w:b w:val="false"/>
          <w:i w:val="false"/>
          <w:color w:val="000000"/>
          <w:sz w:val="22"/>
        </w:rPr>
        <w:t>The youth shall be an active participant in aftercare services, making progress toward an identified goal of obtaining or maintaining stable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 </w:t>
      </w:r>
      <w:r>
        <w:rPr>
          <w:rFonts w:ascii="Times New Roman" w:hAnsi="Times New Roman"/>
          <w:b w:val="false"/>
          <w:i w:val="false"/>
          <w:color w:val="000000"/>
          <w:sz w:val="22"/>
        </w:rPr>
        <w:t>To demonstrate need, the youth must provide evidence that the youth is responsible for paying more than 30 percent of the youth’s gross earned and unearned income for rent and that the youth cannot obtain other rental assistance because the youth has been determined ineligible or is on a waiting list for rent subsidy under the U.S. Department of Housing and Urban Development (HUD) or any other available rent subsidy program or because a waiting list for the HUD rent subsidy program or any other rent subsidy program is closed. This program may not be used to substitute for any other subsidy that the youth had been receiving at the time of or immediately prior to the time of application to this program. Youth receiving rental assistance at the time of or immediately prior to the time of application to this program shall not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Education on renter rights and responsibilities. </w:t>
      </w:r>
      <w:r>
        <w:rPr>
          <w:rFonts w:ascii="Times New Roman" w:hAnsi="Times New Roman"/>
          <w:b w:val="false"/>
          <w:i w:val="false"/>
          <w:color w:val="000000"/>
          <w:sz w:val="22"/>
        </w:rPr>
        <w:t>To demonstrate that the youth understands the rights and responsibilities of being a renter, the youth must have either lived in a transitional apartment, completed a renter education and awareness program, be enrolled to participate or be currently participating in a renter education and awareness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Budget. </w:t>
      </w:r>
      <w:r>
        <w:rPr>
          <w:rFonts w:ascii="Times New Roman" w:hAnsi="Times New Roman"/>
          <w:b w:val="false"/>
          <w:i w:val="false"/>
          <w:color w:val="000000"/>
          <w:sz w:val="22"/>
        </w:rPr>
        <w:t>The youth must submit a budget that demonstrates that the subsidy, when combined with the youth’s gross earned and unearned income, will enable the youth to cover all remaining living expenses (i.e., housing, utilities, clothing, and food).</w:t>
      </w:r>
    </w:p>
    <w:p>
      <w:pPr>
        <w:spacing w:before="0" w:after="0"/>
        <w:ind w:left="120"/>
        <w:jc w:val="both"/>
      </w:pPr>
      <w:r>
        <w:rPr>
          <w:rFonts w:ascii="Times New Roman" w:hAnsi="Times New Roman"/>
          <w:b/>
          <w:i w:val="false"/>
          <w:color w:val="000000"/>
          <w:sz w:val="22"/>
        </w:rPr>
        <w:t>265—22.4</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Application for direct rent subsidy. </w:t>
      </w:r>
      <w:r>
        <w:rPr>
          <w:rFonts w:ascii="Times New Roman" w:hAnsi="Times New Roman"/>
          <w:b w:val="false"/>
          <w:i w:val="false"/>
          <w:color w:val="000000"/>
          <w:sz w:val="22"/>
        </w:rPr>
        <w:t xml:space="preserve">Applications for the program may be obtained on the authority’s website at </w:t>
      </w:r>
      <w:hyperlink r:id="rId6">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or by contacting the authority at the address set forth in </w:t>
      </w:r>
      <w:hyperlink r:id="rId7">
        <w:r>
          <w:rPr>
            <w:rStyle w:val="Hyperlink"/>
            <w:rFonts w:ascii="Times New Roman" w:hAnsi="Times New Roman"/>
            <w:b w:val="false"/>
            <w:i w:val="false"/>
            <w:color w:val="000000"/>
            <w:sz w:val="22"/>
          </w:rPr>
          <w:t>265—Chapter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The application for aftercare rent subsidy and a monthly budget form must be completed, verified by the self-sufficiency advocate and submitted to the authority by the youth’s self-sufficiency advocate. The application and referenced forms will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youth’s estimated monthly gross earned and unearned income for the 12 months following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evidence from sources of local rental assistance available in the youth’s community that the youth has applied for that rental assistance and that the youth has been determined ineligible or placed on a waiting list for that rental assistance, or that the waiting list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total rent for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bedrooms in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Names of the people who are on, or will be on,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the youth’s minor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that the youth has lived in a transitional apartment, completed a renter education and awareness program, or is enrolled to participate or is currently participating in a renter education and awareness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the youth’s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Date of application. </w:t>
      </w:r>
      <w:r>
        <w:rPr>
          <w:rFonts w:ascii="Times New Roman" w:hAnsi="Times New Roman"/>
          <w:b w:val="false"/>
          <w:i w:val="false"/>
          <w:color w:val="000000"/>
          <w:sz w:val="22"/>
        </w:rPr>
        <w:t>The date of the application shall be the date the completed application is received by the authority. Any applications received after a monthly payment calculation will not receive a subsidy payment until the next succeeding payment cycle after approval of the application. No back payment for rent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Payment determination. </w:t>
      </w:r>
      <w:r>
        <w:rPr>
          <w:rFonts w:ascii="Times New Roman" w:hAnsi="Times New Roman"/>
          <w:b w:val="false"/>
          <w:i w:val="false"/>
          <w:color w:val="000000"/>
          <w:sz w:val="22"/>
        </w:rPr>
        <w:t>The self-sufficiency advocate shall be notified by the authority on or about the date that the authority calculates the payment for that month as to whether the youth’s application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available for this program are committed, the authority shall deny pending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Youth not awarded funding who meet the eligibility requirements shall be placed on a statewide waiting list according to the order in which the completed applications were received by the authority. In the event that more than one application is received at one time, the youth shall be entered on the waiting list on the basis of the day of the youth’s birthday, lowest number being first on the waiting list. Any subsequent tie shall be decided by the month of birth, with January being month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self-sufficiency advocate shall be notified of the waiting list decision on or about the date that the authority calculates the payment for that month. The notice shall state that the youth meets eligibility requirements but no funds are available and that the youth shall be placed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funding allows additional youth to be added to the program, they shall be taken from the statewide waiting list, and their eligibility shall be redetermined at that time. An application packet, which includes instructions and necessary forms for verification of continuing eligibility, shall be sent to the self-sufficiency advocate for completion, with such application to be returned to the authority within time lines specified by the authority. If the signed application and verification of continuing eligibility are not received by the time line specified by the authority, the youth’s name shall be dropped from consideration for receipt of the rent subsidy payment.</w:t>
      </w:r>
    </w:p>
    <w:p>
      <w:pPr>
        <w:spacing w:before="0" w:after="0"/>
        <w:ind w:left="120"/>
        <w:jc w:val="both"/>
      </w:pPr>
      <w:r>
        <w:rPr>
          <w:rFonts w:ascii="Times New Roman" w:hAnsi="Times New Roman"/>
          <w:b/>
          <w:i w:val="false"/>
          <w:color w:val="000000"/>
          <w:sz w:val="22"/>
        </w:rPr>
        <w:t>265—22.5</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Amount of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Use of subsidy. </w:t>
      </w:r>
      <w:r>
        <w:rPr>
          <w:rFonts w:ascii="Times New Roman" w:hAnsi="Times New Roman"/>
          <w:b w:val="false"/>
          <w:i w:val="false"/>
          <w:color w:val="000000"/>
          <w:sz w:val="22"/>
        </w:rPr>
        <w:t>Assistance shall be used for rental expense directly related to the youth’s lease of a rental unit. The monthly payment shall be for a rental unit with one bedroom or a proportionate share of rental costs in units containing more than one bedroom. An exception for additional bedrooms will be made for minor dependents residing in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Subsidy amount. </w:t>
      </w:r>
      <w:r>
        <w:rPr>
          <w:rFonts w:ascii="Times New Roman" w:hAnsi="Times New Roman"/>
          <w:b w:val="false"/>
          <w:i w:val="false"/>
          <w:color w:val="000000"/>
          <w:sz w:val="22"/>
        </w:rPr>
        <w:t>The subsidy amount is the difference, not to exceed $350,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lesser of the actual rent or fair market rent under guidelines of the applicable HUD low-rent housing program in the county where the youth’s residence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youth’s monthly gross earned and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Monthly payment. </w:t>
      </w:r>
      <w:r>
        <w:rPr>
          <w:rFonts w:ascii="Times New Roman" w:hAnsi="Times New Roman"/>
          <w:b w:val="false"/>
          <w:i w:val="false"/>
          <w:color w:val="000000"/>
          <w:sz w:val="22"/>
        </w:rPr>
        <w:t xml:space="preserve">So long as funds remain and eligibility requirements of this chapter continue to be met, the organization shall receive an ongoing monthly payment on behalf of the youth approved for rent subsidy. The monthly payment will equal the amount determined pursuant to subrule </w:t>
      </w:r>
      <w:hyperlink r:id="rId8">
        <w:r>
          <w:rPr>
            <w:rStyle w:val="Hyperlink"/>
            <w:rFonts w:ascii="Times New Roman" w:hAnsi="Times New Roman"/>
            <w:b w:val="false"/>
            <w:i w:val="false"/>
            <w:color w:val="000000"/>
            <w:sz w:val="22"/>
          </w:rPr>
          <w:t>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265—22.6</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Redetermination of direct rent subsidy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Time of completion. </w:t>
      </w:r>
      <w:r>
        <w:rPr>
          <w:rFonts w:ascii="Times New Roman" w:hAnsi="Times New Roman"/>
          <w:b w:val="false"/>
          <w:i w:val="false"/>
          <w:color w:val="000000"/>
          <w:sz w:val="22"/>
        </w:rPr>
        <w:t>A redetermination of eligibility for direct rent subsidy payments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occurs that affects eligibility requirements of rule </w:t>
      </w:r>
      <w:hyperlink r:id="rId9">
        <w:r>
          <w:rPr>
            <w:rStyle w:val="Hyperlink"/>
            <w:rFonts w:ascii="Times New Roman" w:hAnsi="Times New Roman"/>
            <w:b w:val="false"/>
            <w:i w:val="false"/>
            <w:color w:val="000000"/>
            <w:sz w:val="22"/>
          </w:rPr>
          <w:t>265—22.3</w:t>
        </w:r>
      </w:hyperlink>
      <w:r>
        <w:rPr>
          <w:rFonts w:ascii="Times New Roman" w:hAnsi="Times New Roman"/>
          <w:b w:val="false"/>
          <w:i w:val="false"/>
          <w:color w:val="000000"/>
          <w:sz w:val="22"/>
        </w:rPr>
        <w:t>(16,PL106-169).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youth moves from the rental unit stated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the names of the people on the lease or number of minor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there is an unapproved person residing in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youth fails to complete the renter education and awareness program within the time period stated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Review packet. </w:t>
      </w:r>
      <w:r>
        <w:rPr>
          <w:rFonts w:ascii="Times New Roman" w:hAnsi="Times New Roman"/>
          <w:b w:val="false"/>
          <w:i w:val="false"/>
          <w:color w:val="000000"/>
          <w:sz w:val="22"/>
        </w:rPr>
        <w:t>The authority shall send a review packet, which shall include instructions and necessary forms for verification of continuing eligibility, to the youth’s self-sufficiency advocate at least 60 calendar days before the deadline date for annual redetermination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self-sufficiency advocate shall submit the completed forms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does not receive the completed forms verifying continued eligibility by the stated deadline, the youth’s subsidy shall be terminated.</w:t>
      </w:r>
    </w:p>
    <w:p>
      <w:pPr>
        <w:spacing w:before="0" w:after="0"/>
        <w:ind w:left="120"/>
        <w:jc w:val="both"/>
      </w:pPr>
      <w:r>
        <w:rPr>
          <w:rFonts w:ascii="Times New Roman" w:hAnsi="Times New Roman"/>
          <w:b/>
          <w:i w:val="false"/>
          <w:color w:val="000000"/>
          <w:sz w:val="22"/>
        </w:rPr>
        <w:t>265—22.7</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Termination of rent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rent subsidy shall terminate at the end of the month in which any of the following occurs, and a notice shall be sent to the self-sufficiency advocate which states the reason for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youth does not meet one or more of the eligibility criteria listed in rule </w:t>
      </w:r>
      <w:hyperlink r:id="rId10">
        <w:r>
          <w:rPr>
            <w:rStyle w:val="Hyperlink"/>
            <w:rFonts w:ascii="Times New Roman" w:hAnsi="Times New Roman"/>
            <w:b w:val="false"/>
            <w:i w:val="false"/>
            <w:color w:val="000000"/>
            <w:sz w:val="22"/>
          </w:rPr>
          <w:t>265—22.3</w:t>
        </w:r>
      </w:hyperlink>
      <w:r>
        <w:rPr>
          <w:rFonts w:ascii="Times New Roman" w:hAnsi="Times New Roman"/>
          <w:b w:val="false"/>
          <w:i w:val="false"/>
          <w:color w:val="000000"/>
          <w:sz w:val="22"/>
        </w:rPr>
        <w:t>(16,PL106-169).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youth does not meet the youth’s obligations and personal responsibility as a renter, as determined by the youth’s self-sufficiency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uncommitted funds are available for the rent subsidy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The youth is required to report to the youth’s self-sufficiency advocate within ten calendar days any changes which may affect eligibility. Failure to do so may result in termination of the subsidy. The self-sufficiency advocate shall inform the authority of changes upon the advocate’s discovery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Insufficient funding. </w:t>
      </w:r>
      <w:r>
        <w:rPr>
          <w:rFonts w:ascii="Times New Roman" w:hAnsi="Times New Roman"/>
          <w:b w:val="false"/>
          <w:i w:val="false"/>
          <w:color w:val="000000"/>
          <w:sz w:val="22"/>
        </w:rPr>
        <w:t xml:space="preserve">If funds are not sufficient to cover payments for all youth on the subsidy, youth shall be terminated from the subsidy in the inverse order in which they began receiving payments, i.e., the last youth to be added to the subsidy being the first youth to be removed. The youth terminated shall move back to the waiting list with the original application date dictating the youth’s position on the waiting list, as stated in subrule </w:t>
      </w:r>
      <w:hyperlink r:id="rId11">
        <w:r>
          <w:rPr>
            <w:rStyle w:val="Hyperlink"/>
            <w:rFonts w:ascii="Times New Roman" w:hAnsi="Times New Roman"/>
            <w:b w:val="false"/>
            <w:i w:val="false"/>
            <w:color w:val="000000"/>
            <w:sz w:val="22"/>
          </w:rPr>
          <w:t>22.4(4)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265—22.8</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Eligibility requirements for transitional apartment subsidy.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The participating organization shall be a contractor or subcontractor of the department of human services’ program of aftercare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submit a statement to the authority that the transitional apartment will be used to provide housing and life skills training to assist youth to recognize and accept their personal responsibility related to being a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The organization will lease or sublease the apartment to qualified aftercare services participants who have left foster care on or after their eighteenth birthday.</w:t>
      </w:r>
    </w:p>
    <w:p>
      <w:pPr>
        <w:spacing w:before="210" w:after="0"/>
        <w:ind w:left="120"/>
        <w:jc w:val="both"/>
      </w:pPr>
      <w:r>
        <w:rPr>
          <w:rFonts w:ascii="Times New Roman" w:hAnsi="Times New Roman"/>
          <w:b/>
          <w:i w:val="false"/>
          <w:color w:val="000000"/>
          <w:sz w:val="22"/>
        </w:rPr>
        <w:t>265—22.9</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Application for transitional apartment subsidy. </w:t>
      </w:r>
      <w:r>
        <w:rPr>
          <w:rFonts w:ascii="Times New Roman" w:hAnsi="Times New Roman"/>
          <w:b w:val="false"/>
          <w:i w:val="false"/>
          <w:color w:val="000000"/>
          <w:sz w:val="22"/>
        </w:rPr>
        <w:t xml:space="preserve">Applications for the transitional apartment subsidy may be obtained on the authority’s website or by contacting the authority at the address set forth in </w:t>
      </w:r>
      <w:hyperlink r:id="rId12">
        <w:r>
          <w:rPr>
            <w:rStyle w:val="Hyperlink"/>
            <w:rFonts w:ascii="Times New Roman" w:hAnsi="Times New Roman"/>
            <w:b w:val="false"/>
            <w:i w:val="false"/>
            <w:color w:val="000000"/>
            <w:sz w:val="22"/>
          </w:rPr>
          <w:t>265—Chapter 1</w:t>
        </w:r>
      </w:hyperlink>
      <w:r>
        <w:rPr>
          <w:rFonts w:ascii="Times New Roman" w:hAnsi="Times New Roman"/>
          <w:b w:val="false"/>
          <w:i w:val="false"/>
          <w:color w:val="000000"/>
          <w:sz w:val="22"/>
        </w:rPr>
        <w:t xml:space="preserve">. The organization shall submit the completed aftercare transitional apartment application, which must include a written narrative of the plan specified in subrule </w:t>
      </w:r>
      <w:hyperlink r:id="rId13">
        <w:r>
          <w:rPr>
            <w:rStyle w:val="Hyperlink"/>
            <w:rFonts w:ascii="Times New Roman" w:hAnsi="Times New Roman"/>
            <w:b w:val="false"/>
            <w:i w:val="false"/>
            <w:color w:val="000000"/>
            <w:sz w:val="22"/>
          </w:rPr>
          <w:t>22.8(2)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265—22.10</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Amount of transitional apartment subsidy. </w:t>
      </w:r>
      <w:r>
        <w:rPr>
          <w:rFonts w:ascii="Times New Roman" w:hAnsi="Times New Roman"/>
          <w:b w:val="false"/>
          <w:i w:val="false"/>
          <w:color w:val="000000"/>
          <w:sz w:val="22"/>
        </w:rPr>
        <w:t>The amount of transitional apartment subsidy is based on the lesser of the actual rent or 100 percent of the fair market rent under guidelines of the applicable HUD low-rent housing program in the county where the rental unit is located.</w:t>
      </w:r>
    </w:p>
    <w:p>
      <w:pPr>
        <w:spacing w:before="0" w:after="0"/>
        <w:ind w:left="120"/>
        <w:jc w:val="both"/>
      </w:pPr>
      <w:r>
        <w:rPr>
          <w:rFonts w:ascii="Times New Roman" w:hAnsi="Times New Roman"/>
          <w:b/>
          <w:i w:val="false"/>
          <w:color w:val="000000"/>
          <w:sz w:val="22"/>
        </w:rPr>
        <w:t>265—22.11</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Redetermination of transitional apartment subsidy eligibility. </w:t>
      </w:r>
      <w:r>
        <w:rPr>
          <w:rFonts w:ascii="Times New Roman" w:hAnsi="Times New Roman"/>
          <w:b w:val="false"/>
          <w:i w:val="false"/>
          <w:color w:val="000000"/>
          <w:sz w:val="22"/>
        </w:rPr>
        <w:t>A redetermination of eligibility for transitional apartment subsidy payments shall be completed: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least once every 12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When a change in circumstances occurs that affects eligibility requirements of rule </w:t>
      </w:r>
      <w:hyperlink r:id="rId14">
        <w:r>
          <w:rPr>
            <w:rStyle w:val="Hyperlink"/>
            <w:rFonts w:ascii="Times New Roman" w:hAnsi="Times New Roman"/>
            <w:b w:val="false"/>
            <w:i w:val="false"/>
            <w:color w:val="000000"/>
            <w:sz w:val="22"/>
          </w:rPr>
          <w:t>265—22.8</w:t>
        </w:r>
      </w:hyperlink>
      <w:r>
        <w:rPr>
          <w:rFonts w:ascii="Times New Roman" w:hAnsi="Times New Roman"/>
          <w:b w:val="false"/>
          <w:i w:val="false"/>
          <w:color w:val="000000"/>
          <w:sz w:val="22"/>
        </w:rPr>
        <w:t>(16,PL106-169).</w:t>
      </w:r>
    </w:p>
    <w:p>
      <w:pPr>
        <w:spacing w:before="0" w:after="0"/>
        <w:ind w:left="120"/>
        <w:jc w:val="both"/>
      </w:pPr>
      <w:r>
        <w:rPr>
          <w:rFonts w:ascii="Times New Roman" w:hAnsi="Times New Roman"/>
          <w:b/>
          <w:i w:val="false"/>
          <w:color w:val="000000"/>
          <w:sz w:val="22"/>
        </w:rPr>
        <w:t>265—22.12</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Termination of transitional apartment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rent subsidy shall terminate at the end of the month in which any of the following occurs, and a notice shall be sent to the participating organization which states the reason for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no longer meets the eligibility criteria listed in rule </w:t>
      </w:r>
      <w:hyperlink r:id="rId15">
        <w:r>
          <w:rPr>
            <w:rStyle w:val="Hyperlink"/>
            <w:rFonts w:ascii="Times New Roman" w:hAnsi="Times New Roman"/>
            <w:b w:val="false"/>
            <w:i w:val="false"/>
            <w:color w:val="000000"/>
            <w:sz w:val="22"/>
          </w:rPr>
          <w:t>265—22.8</w:t>
        </w:r>
      </w:hyperlink>
      <w:r>
        <w:rPr>
          <w:rFonts w:ascii="Times New Roman" w:hAnsi="Times New Roman"/>
          <w:b w:val="false"/>
          <w:i w:val="false"/>
          <w:color w:val="000000"/>
          <w:sz w:val="22"/>
        </w:rPr>
        <w:t>(16,PL106-169).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additional unobligated funds are available for the transitional apartment subsidy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The organization shall report to the authority any changes which may affect eligibility. Failure to do so may result in termination of the subsidy.</w:t>
      </w:r>
    </w:p>
    <w:p>
      <w:pPr>
        <w:spacing w:before="210" w:after="0"/>
        <w:ind w:left="120"/>
        <w:jc w:val="both"/>
      </w:pPr>
      <w:r>
        <w:rPr>
          <w:rFonts w:ascii="Times New Roman" w:hAnsi="Times New Roman"/>
          <w:b/>
          <w:i w:val="false"/>
          <w:color w:val="000000"/>
          <w:sz w:val="22"/>
        </w:rPr>
        <w:t>265—22.13</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Fraudulent practices relating to the aftercare rent subsidy program. </w:t>
      </w:r>
      <w:r>
        <w:rPr>
          <w:rFonts w:ascii="Times New Roman" w:hAnsi="Times New Roman"/>
          <w:b w:val="false"/>
          <w:i w:val="false"/>
          <w:color w:val="000000"/>
          <w:sz w:val="22"/>
        </w:rPr>
        <w:t>If a youth, self-sufficiency advocate, or organization knowingly makes or causes to be made a false statement or representation or knowingly fails to report to the authority any change in circumstances affecting the youth’s or organization’s eligibility for financial assistance under this chapter, the authority may require repayment of the amount that was paid to or on behalf of the youth or organization while the youth or organization was ineligible, as a condition of continued participation in the program.</w:t>
      </w:r>
    </w:p>
    <w:p>
      <w:pPr>
        <w:spacing w:before="0" w:after="0"/>
        <w:ind w:left="120"/>
        <w:jc w:val="both"/>
      </w:pPr>
      <w:r>
        <w:rPr>
          <w:rFonts w:ascii="Times New Roman" w:hAnsi="Times New Roman"/>
          <w:b/>
          <w:i w:val="false"/>
          <w:color w:val="000000"/>
          <w:sz w:val="22"/>
        </w:rPr>
        <w:t>265—22.14</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val="false"/>
          <w:color w:val="000000"/>
          <w:sz w:val="22"/>
        </w:rPr>
        <w:t>An applicant whose application has been timely filed may appeal the authority’s decision by filing a written notice of appeal within 14 days of the decision before the Iowa finance authority at the address set forth in rule 265—1.3(16). The notice of appeal must actually be received at that address within the time frame specified in order to be considered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val="false"/>
          <w:color w:val="000000"/>
          <w:sz w:val="22"/>
        </w:rPr>
        <w:t>The notice of appeal shall state the grounds upon which the applicant challenges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val="false"/>
          <w:color w:val="000000"/>
          <w:sz w:val="22"/>
        </w:rPr>
        <w:t>An appeal shall be heard by the executive director of the Iowa finance authority. The executive director shall grant the appellant reasonable opportunity to gather information and inquire as to why the decision in question was made. The executive director shall allow the appellant to present all the relevant facts supporting the appellant’s position. Such presentation shall be held not later than 30 days after the filing of an appeal, unless the parties agree to hold the presentation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val="false"/>
          <w:color w:val="000000"/>
          <w:sz w:val="22"/>
        </w:rPr>
        <w:t>Within 7 days of the presentation, the executive director shall issue a written decision which clearly states whether or not the authority’s decision was appropriate. Such decision shall be delivered to the appellant and the board of directors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22.14(5)</w:t>
      </w:r>
      <w:r>
        <w:rPr>
          <w:rFonts w:ascii="Times New Roman" w:hAnsi="Times New Roman"/>
          <w:b w:val="false"/>
          <w:i w:val="false"/>
          <w:color w:val="000000"/>
          <w:sz w:val="22"/>
        </w:rPr>
        <w:t> </w:t>
      </w:r>
      <w:r>
        <w:rPr>
          <w:rFonts w:ascii="Times New Roman" w:hAnsi="Times New Roman"/>
          <w:b w:val="false"/>
          <w:i w:val="false"/>
          <w:color w:val="000000"/>
          <w:sz w:val="22"/>
        </w:rPr>
        <w:t>If the executive director determines that the authority’s decision was not appropriate, the executive director shall recommend to the authority’s board a proper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22.14(6)</w:t>
      </w:r>
      <w:r>
        <w:rPr>
          <w:rFonts w:ascii="Times New Roman" w:hAnsi="Times New Roman"/>
          <w:b w:val="false"/>
          <w:i w:val="false"/>
          <w:color w:val="000000"/>
          <w:sz w:val="22"/>
        </w:rPr>
        <w:t> </w:t>
      </w:r>
      <w:r>
        <w:rPr>
          <w:rFonts w:ascii="Times New Roman" w:hAnsi="Times New Roman"/>
          <w:b w:val="false"/>
          <w:i w:val="false"/>
          <w:color w:val="000000"/>
          <w:sz w:val="22"/>
        </w:rPr>
        <w:t>Final agency action. After receiving a written decision from the executive director, the board must either approve or decline to approve the executive director’s recommendation no later than the next regularly scheduled board meeting. Such action by the board shall be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22.14(7)</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Judicial review of the authority’s final decisions may be sought in accordance with Iowa Code section </w:t>
      </w:r>
      <w:hyperlink r:id="rId1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16.5(5)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16.5(10)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16.5(13)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16.5(17)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16.15(7)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106-169</w:t>
      </w:r>
      <w:r>
        <w:rPr>
          <w:rFonts w:ascii="Times New Roman" w:hAnsi="Times New Roman"/>
          <w:b w:val="false"/>
          <w:i w:val="false"/>
          <w:color w:val="000000"/>
          <w:sz w:val="22"/>
        </w:rPr>
        <w:t>, Section 101 (Improved Independent Living Program).</w:t>
      </w:r>
    </w:p>
    <w:p>
      <w:pPr>
        <w:spacing w:before="0" w:after="0"/>
        <w:ind w:left="120"/>
        <w:jc w:val="center"/>
      </w:pPr>
      <w:r>
        <w:rPr>
          <w:rFonts w:ascii="Times New Roman" w:hAnsi="Times New Roman"/>
          <w:b w:val="false"/>
          <w:i w:val="false"/>
          <w:color w:val="000000"/>
          <w:sz w:val="21"/>
        </w:rPr>
        <w:t>[Filed 2/10/05, Notice 12/22/04—published 3/2/05, effective 4/6/05]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62A.pdf" Type="http://schemas.openxmlformats.org/officeDocument/2006/relationships/hyperlink" Id="rId5"/>
    <Relationship TargetMode="External" Target="www.iowafinanceauthority.gov" Type="http://schemas.openxmlformats.org/officeDocument/2006/relationships/hyperlink" Id="rId6"/>
    <Relationship TargetMode="External" Target="https://www.legis.iowa.gov/docs/iac/chapter/265.1.pdf" Type="http://schemas.openxmlformats.org/officeDocument/2006/relationships/hyperlink" Id="rId7"/>
    <Relationship TargetMode="External" Target="https://www.legis.iowa.gov/docs/iac/rule/265.22.5.pdf" Type="http://schemas.openxmlformats.org/officeDocument/2006/relationships/hyperlink" Id="rId8"/>
    <Relationship TargetMode="External" Target="https://www.legis.iowa.gov/docs/iac/rule/265.22.3.pdf" Type="http://schemas.openxmlformats.org/officeDocument/2006/relationships/hyperlink" Id="rId9"/>
    <Relationship TargetMode="External" Target="https://www.legis.iowa.gov/docs/iac/rule/265.22.3.pdf" Type="http://schemas.openxmlformats.org/officeDocument/2006/relationships/hyperlink" Id="rId10"/>
    <Relationship TargetMode="External" Target="https://www.legis.iowa.gov/docs/iac/rule/265.22.4.pdf" Type="http://schemas.openxmlformats.org/officeDocument/2006/relationships/hyperlink" Id="rId11"/>
    <Relationship TargetMode="External" Target="https://www.legis.iowa.gov/docs/iac/chapter/265.1.pdf" Type="http://schemas.openxmlformats.org/officeDocument/2006/relationships/hyperlink" Id="rId12"/>
    <Relationship TargetMode="External" Target="https://www.legis.iowa.gov/docs/iac/rule/265.22.8.pdf" Type="http://schemas.openxmlformats.org/officeDocument/2006/relationships/hyperlink" Id="rId13"/>
    <Relationship TargetMode="External" Target="https://www.legis.iowa.gov/docs/iac/rule/265.22.8.pdf" Type="http://schemas.openxmlformats.org/officeDocument/2006/relationships/hyperlink" Id="rId14"/>
    <Relationship TargetMode="External" Target="https://www.legis.iowa.gov/docs/iac/rule/265.22.8.pdf" Type="http://schemas.openxmlformats.org/officeDocument/2006/relationships/hyperlink" Id="rId15"/>
    <Relationship TargetMode="External" Target="https://www.legis.iowa.gov/docs/ico/chapter/17A.19.pdf" Type="http://schemas.openxmlformats.org/officeDocument/2006/relationships/hyperlink" Id="rId16"/>
    <Relationship TargetMode="External" Target="https://www.legis.iowa.gov/docs/ico/chapter/16.5.pdf" Type="http://schemas.openxmlformats.org/officeDocument/2006/relationships/hyperlink" Id="rId17"/>
    <Relationship TargetMode="External" Target="https://www.legis.iowa.gov/docs/ico/chapter/16.5.pdf" Type="http://schemas.openxmlformats.org/officeDocument/2006/relationships/hyperlink" Id="rId18"/>
    <Relationship TargetMode="External" Target="https://www.legis.iowa.gov/docs/ico/chapter/16.5.pdf" Type="http://schemas.openxmlformats.org/officeDocument/2006/relationships/hyperlink" Id="rId19"/>
    <Relationship TargetMode="External" Target="https://www.legis.iowa.gov/docs/ico/chapter/16.5.pdf" Type="http://schemas.openxmlformats.org/officeDocument/2006/relationships/hyperlink" Id="rId20"/>
    <Relationship TargetMode="External" Target="https://www.legis.iowa.gov/docs/ico/chapter/16.15.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