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HOME AND COMMUNITY-BASED SERVICES REVOLVING LOAN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265—21.1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Through its home and community-based services revolving loan program (program), the authority seeks to assist in the development and expansion of specific community-based services (adult day services, respite services, congregate meals, health and wellness, health screening, and nutritional assessments) that will allow persons of low income to remain in their homes. This chapter implements Iowa Code section </w:t>
      </w:r>
      <w:hyperlink r:id="rId5">
        <w:r>
          <w:rPr>
            <w:rStyle w:val="Hyperlink"/>
            <w:rFonts w:ascii="Times New Roman" w:hAnsi="Times New Roman"/>
            <w:b w:val="false"/>
            <w:i w:val="false"/>
            <w:color w:val="000000"/>
            <w:sz w:val="22"/>
          </w:rPr>
          <w:t>16.47</w:t>
        </w:r>
      </w:hyperlink>
      <w:r>
        <w:rPr>
          <w:rFonts w:ascii="Times New Roman" w:hAnsi="Times New Roman"/>
          <w:b w:val="false"/>
          <w:i w:val="false"/>
          <w:color w:val="000000"/>
          <w:sz w:val="22"/>
        </w:rPr>
        <w:t xml:space="preserve"> and furthers the goals specified in Iowa Code section </w:t>
      </w:r>
      <w:hyperlink r:id="rId6">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4795C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265—21.2</w:t>
      </w:r>
      <w:r>
        <w:rPr>
          <w:rFonts w:ascii="Times New Roman" w:hAnsi="Times New Roman"/>
          <w:b/>
          <w:i w:val="false"/>
          <w:color w:val="000000"/>
          <w:sz w:val="22"/>
        </w:rPr>
        <w:t xml:space="preserve">(16) </w:t>
      </w:r>
      <w:r>
        <w:rPr>
          <w:rFonts w:ascii="Times New Roman" w:hAnsi="Times New Roman"/>
          <w:b/>
          <w:i w:val="false"/>
          <w:color w:val="000000"/>
          <w:sz w:val="22"/>
        </w:rPr>
        <w:t xml:space="preserve">Available funds. </w:t>
      </w:r>
      <w:r>
        <w:rPr>
          <w:rFonts w:ascii="Times New Roman" w:hAnsi="Times New Roman"/>
          <w:b w:val="false"/>
          <w:i w:val="false"/>
          <w:color w:val="000000"/>
          <w:sz w:val="22"/>
        </w:rPr>
        <w:t xml:space="preserve">The authority anticipates that it will, at least annually, publicize the approximate amount of funds available under this program for the applicable fiscal year on the authority’s Web site at </w:t>
      </w:r>
      <w:hyperlink r:id="rId7">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 Any unallocated or recovered funds, or payments of interest and principal, or any combination thereof, may be awarded or may be carried over to the next year’s cycle of loans at the discretion of the authority.</w:t>
      </w:r>
    </w:p>
    <w:p>
      <w:pPr>
        <w:spacing w:before="210" w:after="0"/>
        <w:ind w:left="120"/>
        <w:jc w:val="both"/>
      </w:pPr>
      <w:r>
        <w:rPr>
          <w:rFonts w:ascii="Times New Roman" w:hAnsi="Times New Roman"/>
          <w:b/>
          <w:i w:val="false"/>
          <w:color w:val="000000"/>
          <w:sz w:val="22"/>
        </w:rPr>
        <w:t>265—21.3</w:t>
      </w:r>
      <w:r>
        <w:rPr>
          <w:rFonts w:ascii="Times New Roman" w:hAnsi="Times New Roman"/>
          <w:b/>
          <w:i w:val="false"/>
          <w:color w:val="000000"/>
          <w:sz w:val="22"/>
        </w:rPr>
        <w:t xml:space="preserve">(16) </w:t>
      </w:r>
      <w:r>
        <w:rPr>
          <w:rFonts w:ascii="Times New Roman" w:hAnsi="Times New Roman"/>
          <w:b/>
          <w:i w:val="false"/>
          <w:color w:val="000000"/>
          <w:sz w:val="22"/>
        </w:rPr>
        <w:t xml:space="preserve">Intent of the authority. </w:t>
      </w:r>
      <w:r>
        <w:rPr>
          <w:rFonts w:ascii="Times New Roman" w:hAnsi="Times New Roman"/>
          <w:b w:val="false"/>
          <w:i w:val="false"/>
          <w:color w:val="000000"/>
          <w:sz w:val="22"/>
        </w:rPr>
        <w:t>It is the authority’s intent to allow maximum discretion and flexibility to be used by those applying for assistance under this program, and to allow discretion and flexibility to be used by the authority in its analysis and awarding of assistance under this program. It is the position of the authority that such discretion and flexibility are essential to structuring transactions that will serve to develop and expand facilities and infrastructure that provide adult day services, respite services, congregate meals, and programming space for health and wellness, health screening, and nutritional assessments that address the needs of persons with low incomes in a manner that best serves the citizens of the state.</w:t>
      </w:r>
    </w:p>
    <w:p>
      <w:pPr>
        <w:spacing w:before="210" w:after="0"/>
        <w:ind w:left="120"/>
        <w:jc w:val="both"/>
      </w:pPr>
      <w:r>
        <w:rPr>
          <w:rFonts w:ascii="Times New Roman" w:hAnsi="Times New Roman"/>
          <w:b/>
          <w:i w:val="false"/>
          <w:color w:val="000000"/>
          <w:sz w:val="22"/>
        </w:rPr>
        <w:t>265—21.4</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 </w:t>
      </w:r>
      <w:r>
        <w:rPr>
          <w:rFonts w:ascii="Times New Roman" w:hAnsi="Times New Roman"/>
          <w:b w:val="false"/>
          <w:i w:val="false"/>
          <w:color w:val="000000"/>
          <w:sz w:val="22"/>
        </w:rPr>
        <w:t>Applications for assistance under this program must be made on forms and in the manner provided by the authority. Inquiries with respect to this program should be made to those persons identified on the authority’s Web site as contacts for this program. Once contacted with an inquiry, the authority will send an application package to the potential applicant. In the event it becomes necessary to amend the application, the authority will post the amended version of the application on its Web site. The authority will take such applications from time to time and will analyze and award loans to applicants on an ongoing basis, beginning on or after December 6, 2004. It is the position of the authority that such flexibility in taking and reviewing applications and making awards will best serve to develop and expand facilities and infrastructure that provide adult day services, respite services, and congregate meals that address the needs of persons with low incomes in the state.</w:t>
      </w:r>
    </w:p>
    <w:p>
      <w:pPr>
        <w:spacing w:before="0" w:after="0"/>
        <w:ind w:left="120"/>
        <w:jc w:val="both"/>
      </w:pPr>
      <w:r>
        <w:rPr>
          <w:rFonts w:ascii="Times New Roman" w:hAnsi="Times New Roman"/>
          <w:b/>
          <w:i w:val="false"/>
          <w:color w:val="000000"/>
          <w:sz w:val="22"/>
        </w:rPr>
        <w:t>265—21.5</w:t>
      </w:r>
      <w:r>
        <w:rPr>
          <w:rFonts w:ascii="Times New Roman" w:hAnsi="Times New Roman"/>
          <w:b/>
          <w:i w:val="false"/>
          <w:color w:val="000000"/>
          <w:sz w:val="22"/>
        </w:rPr>
        <w:t xml:space="preserve">(16) </w:t>
      </w:r>
      <w:r>
        <w:rPr>
          <w:rFonts w:ascii="Times New Roman" w:hAnsi="Times New Roman"/>
          <w:b/>
          <w:i w:val="false"/>
          <w:color w:val="000000"/>
          <w:sz w:val="22"/>
        </w:rPr>
        <w:t xml:space="preserve">Program guidelines. </w:t>
      </w:r>
      <w:r>
        <w:rPr>
          <w:rFonts w:ascii="Times New Roman" w:hAnsi="Times New Roman"/>
          <w:b w:val="false"/>
          <w:i w:val="false"/>
          <w:color w:val="000000"/>
          <w:sz w:val="22"/>
        </w:rPr>
        <w:t>For-profit and nonprofit sponsors are eligible to apply for assistance under this program based on the following program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Projects eligible for assistance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adult day services, the project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Set aside 40 percent of the admissions for those with incomes at or below 40 percent of area median income (AMI) for the county in which the property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 service fee that is affordable to those with incomes at or below 40 percent of AMI for the county in which the property is located, or agree to adjust fees based on a person’s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 third-party reimbursement, including Medicaid 1915(c) waiver(s), and meet the standards set forth in </w:t>
      </w:r>
      <w:hyperlink r:id="rId8">
        <w:r>
          <w:rPr>
            <w:rStyle w:val="Hyperlink"/>
            <w:rFonts w:ascii="Times New Roman" w:hAnsi="Times New Roman"/>
            <w:b w:val="false"/>
            <w:i w:val="false"/>
            <w:color w:val="000000"/>
            <w:sz w:val="22"/>
          </w:rPr>
          <w:t>441—Chapter 77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Become and remain certified as an adult day services provider, as set forth in </w:t>
      </w:r>
      <w:hyperlink r:id="rId9">
        <w:r>
          <w:rPr>
            <w:rStyle w:val="Hyperlink"/>
            <w:rFonts w:ascii="Times New Roman" w:hAnsi="Times New Roman"/>
            <w:b w:val="false"/>
            <w:i w:val="false"/>
            <w:color w:val="000000"/>
            <w:sz w:val="22"/>
          </w:rPr>
          <w:t>481—Chapters 67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respite services, the project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services to underserved people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 service fee that is affordable to those with incomes at or below 40 percent of AMI for the county in which the property is located, or agree to adjust fees based on a person’s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 third-party reimbursement, including Medicaid 1915(c) waiver(s), and meet the standards set forth in </w:t>
      </w:r>
      <w:hyperlink r:id="rId11">
        <w:r>
          <w:rPr>
            <w:rStyle w:val="Hyperlink"/>
            <w:rFonts w:ascii="Times New Roman" w:hAnsi="Times New Roman"/>
            <w:b w:val="false"/>
            <w:i w:val="false"/>
            <w:color w:val="000000"/>
            <w:sz w:val="22"/>
          </w:rPr>
          <w:t>441—Chapter 77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Meet all local, state and federal requirements subject to health care limits of the proposed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congregate meals, the project must establish and maintain a contract with the area agency on aging to provide congregate meals under the standards established for such a program under the federal Older Americans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case of programming space for health and wellness, the program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Adopt research-based practices to prevent disease and improve overall wellness, resulting in measurable outcomes for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educational opportunities on disease prevention, physical activity, and nutritional choices;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 a service fee that is affordable to those with incomes at or below 40 percent of AMI for the county in which the property is located, or agree to adjust fees based on a person’s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case of programming space for health screening, the program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 licensed health care professional to provide screening and assessment services within the limits of the professional’s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services to underserved people in the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 a service fee that is affordable to those with incomes at or below 40 percent of AMI for the county in which the property is located, or agree to adjust fees based on a person’s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programming space for nutritional assessments, the program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 registered dietitian to provide assessment and counseling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 service fee that is affordable to those with incomes at or below 40 percent of AMI for the county in which the property is located, or agree to adjust fees based on a person’s ability to pay;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Accept third-party reimbursement for nutritional counseling, including one or both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Medicaid 1915(c) waiver(s) and meet the standards set forth in human services department rules in </w:t>
      </w:r>
      <w:hyperlink r:id="rId12">
        <w:r>
          <w:rPr>
            <w:rStyle w:val="Hyperlink"/>
            <w:rFonts w:ascii="Times New Roman" w:hAnsi="Times New Roman"/>
            <w:b w:val="false"/>
            <w:i w:val="false"/>
            <w:color w:val="000000"/>
            <w:sz w:val="22"/>
          </w:rPr>
          <w:t>441—Chapters 77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Older Americans Act, </w:t>
      </w:r>
      <w:r>
        <w:rPr>
          <w:rFonts w:ascii="Times New Roman" w:hAnsi="Times New Roman"/>
          <w:b w:val="false"/>
          <w:i w:val="false"/>
          <w:color w:val="000000"/>
          <w:sz w:val="22"/>
        </w:rPr>
        <w:t>42 U.S.C. § 3001 et seq.</w:t>
      </w:r>
      <w:r>
        <w:rPr>
          <w:rFonts w:ascii="Times New Roman" w:hAnsi="Times New Roman"/>
          <w:b w:val="false"/>
          <w:i w:val="false"/>
          <w:color w:val="000000"/>
          <w:sz w:val="22"/>
        </w:rPr>
        <w:t xml:space="preserve">, and meet the standards set forth in the department on aging’s rules in </w:t>
      </w:r>
      <w:hyperlink r:id="rId14">
        <w:r>
          <w:rPr>
            <w:rStyle w:val="Hyperlink"/>
            <w:rFonts w:ascii="Times New Roman" w:hAnsi="Times New Roman"/>
            <w:b w:val="false"/>
            <w:i w:val="false"/>
            <w:color w:val="000000"/>
            <w:sz w:val="22"/>
          </w:rPr>
          <w:t>17—Chapter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demonstrated market need for the project must exist and the project must be in a good location, both as determined by the authority in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Assistance provided under this program must enable the project to maintain financial feasibility and affordability for at least the term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Maintenance and debt service reserve funds must be adequately funded, as determined by the authority in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Programs shall comply with all applicable federal, state and local laws and rules related to the specified service or services offered by the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activities are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Acquisition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Rehabilitation to expand a current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other similar activities as may be determined by the authority to fall within the guidelines and purposes established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val="false"/>
          <w:color w:val="000000"/>
          <w:sz w:val="22"/>
        </w:rPr>
        <w:t>Assistance will be provided upon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Generally, the minimum loan amount is $50,000, and the maximum loan amount is $1,000,000. The maximum loan term and amortization period are each 20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debt service ratio must be at least 1.30:1, as calculated by the authority. In addition, the loan-to-value ratio of the project, as calculated by the authority, will be considered. Notwithstanding the above, the authority may, in its sole discretion, accept a lower debt service ratio based on the final underwriting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rates will be set by the authority, in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Loans shall be secured by a first mortgage; provided, however, that in limited cases the authority may consider a subordinate mortgage when the first mortgage is held by another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Recipients of assistance must agree to observe several covenants and restrictions, including but not limited to recorded affordability and transfer restrictions, all in accordance with such loan and mortgage documents as may be required by the authority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project receiving assistance may demonstrate a local contributing effort, as such term is used in Iowa Code section </w:t>
      </w:r>
      <w:hyperlink r:id="rId15">
        <w:r>
          <w:rPr>
            <w:rStyle w:val="Hyperlink"/>
            <w:rFonts w:ascii="Times New Roman" w:hAnsi="Times New Roman"/>
            <w:b w:val="false"/>
            <w:i w:val="false"/>
            <w:color w:val="000000"/>
            <w:sz w:val="22"/>
          </w:rPr>
          <w:t>16.4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Recipients shall execute such documents and instruments and must provide such information, certificates and other items as determined necessary by the authority, in its sole discretion, in connection with any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val="false"/>
          <w:color w:val="000000"/>
          <w:sz w:val="22"/>
        </w:rPr>
        <w:t>Loan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Commitment fee (construction period) – 1.0 percent of the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Commitment fee (permanent loan) – 2.0 percent of the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Inspection fee – 0.5 percent of construction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Application fee – 0.3 percent of total loan amount requested, payable with the submission of loan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may, in limited cases, reduce such fees if necessary in connection with assistance provided under this program. Such decision will be made in the sole discretion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will refund to the borrower one-half of the permanent loan commitment fee if the borrower’s loan is paid off within five years of the closing of the loan.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4795C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265—21.6</w:t>
      </w:r>
      <w:r>
        <w:rPr>
          <w:rFonts w:ascii="Times New Roman" w:hAnsi="Times New Roman"/>
          <w:b/>
          <w:i w:val="false"/>
          <w:color w:val="000000"/>
          <w:sz w:val="22"/>
        </w:rPr>
        <w:t xml:space="preserve">(16) </w:t>
      </w:r>
      <w:r>
        <w:rPr>
          <w:rFonts w:ascii="Times New Roman" w:hAnsi="Times New Roman"/>
          <w:b/>
          <w:i w:val="false"/>
          <w:color w:val="000000"/>
          <w:sz w:val="22"/>
        </w:rPr>
        <w:t xml:space="preserve">Authority analysis of applications. </w:t>
      </w:r>
      <w:r>
        <w:rPr>
          <w:rFonts w:ascii="Times New Roman" w:hAnsi="Times New Roman"/>
          <w:b w:val="false"/>
          <w:i w:val="false"/>
          <w:color w:val="000000"/>
          <w:sz w:val="22"/>
        </w:rPr>
        <w:t>Authority staff, in cooperation with the department of inspections and appeals or the department on aging (or both, as necessary), will analyze and underwrite each potential project and will make recommendations for funding assistance to the board of the authority. Authority staff will use such procedures and processes in its underwriting and analysis as it deems necessary and appropriate in connection with furthering the purposes of this program. In addition, the authority anticipates that, because of the complex nature of each transaction, and the particular set of circumstances attributable to each particular application/transaction, the terms and conditions of loans may vary from project to project. The authority will make available its general operating procedures and guidelines for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4795C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265—21.7</w:t>
      </w:r>
      <w:r>
        <w:rPr>
          <w:rFonts w:ascii="Times New Roman" w:hAnsi="Times New Roman"/>
          <w:b/>
          <w:i w:val="false"/>
          <w:color w:val="000000"/>
          <w:sz w:val="22"/>
        </w:rPr>
        <w:t xml:space="preserve">(16) </w:t>
      </w:r>
      <w:r>
        <w:rPr>
          <w:rFonts w:ascii="Times New Roman" w:hAnsi="Times New Roman"/>
          <w:b/>
          <w:i w:val="false"/>
          <w:color w:val="000000"/>
          <w:sz w:val="22"/>
        </w:rPr>
        <w:t xml:space="preserve">Discretion of authority board. </w:t>
      </w:r>
      <w:r>
        <w:rPr>
          <w:rFonts w:ascii="Times New Roman" w:hAnsi="Times New Roman"/>
          <w:b w:val="false"/>
          <w:i w:val="false"/>
          <w:color w:val="000000"/>
          <w:sz w:val="22"/>
        </w:rPr>
        <w:t>The authority board of directors has the sole and final discretion to award or not award assistance and to approve final loan terms.</w:t>
      </w:r>
    </w:p>
    <w:p>
      <w:pPr>
        <w:spacing w:before="210" w:after="0"/>
        <w:ind w:left="120"/>
        <w:jc w:val="both"/>
      </w:pPr>
      <w:r>
        <w:rPr>
          <w:rFonts w:ascii="Times New Roman" w:hAnsi="Times New Roman"/>
          <w:b/>
          <w:i w:val="false"/>
          <w:color w:val="000000"/>
          <w:sz w:val="22"/>
        </w:rPr>
        <w:t>265—21.8</w:t>
      </w:r>
      <w:r>
        <w:rPr>
          <w:rFonts w:ascii="Times New Roman" w:hAnsi="Times New Roman"/>
          <w:b/>
          <w:i w:val="false"/>
          <w:color w:val="000000"/>
          <w:sz w:val="22"/>
        </w:rPr>
        <w:t xml:space="preserve">(16) </w:t>
      </w:r>
      <w:r>
        <w:rPr>
          <w:rFonts w:ascii="Times New Roman" w:hAnsi="Times New Roman"/>
          <w:b/>
          <w:i w:val="false"/>
          <w:color w:val="000000"/>
          <w:sz w:val="22"/>
        </w:rPr>
        <w:t xml:space="preserve">Closing/advance of funds. </w:t>
      </w:r>
      <w:r>
        <w:rPr>
          <w:rFonts w:ascii="Times New Roman" w:hAnsi="Times New Roman"/>
          <w:b w:val="false"/>
          <w:i w:val="false"/>
          <w:color w:val="000000"/>
          <w:sz w:val="22"/>
        </w:rPr>
        <w:t>If all requirements of the authority are not met in accordance with any time frames set by the authority and to the complete satisfaction of the authority, all in the sole discretion of the authority, the authority may determine to cease work on an approved project and, accordingly, not advance any funds for such project.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16.47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9/9/04, Notice 8/4/04—published 9/29/04, effective 11/3/04]</w:t>
      </w:r>
    </w:p>
    <w:p>
      <w:pPr>
        <w:spacing w:before="0" w:after="0"/>
        <w:ind w:left="120"/>
        <w:jc w:val="center"/>
      </w:pPr>
      <w:r>
        <w:rPr>
          <w:rFonts w:ascii="Times New Roman" w:hAnsi="Times New Roman"/>
          <w:b w:val="false"/>
          <w:i w:val="false"/>
          <w:color w:val="000000"/>
          <w:sz w:val="21"/>
        </w:rPr>
        <w:t>[Filed 5/5/05, Notice 3/30/05—published 5/25/05, effective 6/29/05]</w:t>
      </w:r>
    </w:p>
    <w:p>
      <w:pPr>
        <w:spacing w:before="0" w:after="0"/>
        <w:ind w:left="120"/>
        <w:jc w:val="center"/>
      </w:pPr>
      <w:r>
        <w:rPr>
          <w:rFonts w:ascii="Times New Roman" w:hAnsi="Times New Roman"/>
          <w:b w:val="false"/>
          <w:i w:val="false"/>
          <w:color w:val="000000"/>
          <w:sz w:val="21"/>
        </w:rPr>
        <w:t>[Filed 9/21/06, Notice 8/2/06—published 10/11/06, effective 11/15/06]</w:t>
      </w:r>
    </w:p>
    <w:p>
      <w:pPr>
        <w:spacing w:before="0" w:after="0"/>
        <w:ind w:left="120"/>
        <w:jc w:val="center"/>
      </w:pPr>
      <w:r>
        <w:rPr>
          <w:rFonts w:ascii="Times New Roman" w:hAnsi="Times New Roman"/>
          <w:b w:val="false"/>
          <w:i w:val="false"/>
          <w:color w:val="000000"/>
          <w:sz w:val="21"/>
        </w:rPr>
        <w:t>[Filed ARC 4795C</w:t>
      </w:r>
      <w:r>
        <w:rPr>
          <w:rFonts w:ascii="Times New Roman" w:hAnsi="Times New Roman"/>
          <w:b w:val="false"/>
          <w:i w:val="false"/>
          <w:color w:val="000000"/>
          <w:sz w:val="21"/>
        </w:rPr>
        <w:t xml:space="preserve"> (Notice ARC 4666C, IAB 9/25/19)</w:t>
      </w:r>
      <w:r>
        <w:rPr>
          <w:rFonts w:ascii="Times New Roman" w:hAnsi="Times New Roman"/>
          <w:b w:val="false"/>
          <w:i w:val="false"/>
          <w:color w:val="000000"/>
          <w:sz w:val="21"/>
        </w:rPr>
        <w:t>, IAB 12/4/19, effective 1/8/20]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47.pdf" Type="http://schemas.openxmlformats.org/officeDocument/2006/relationships/hyperlink" Id="rId5"/>
    <Relationship TargetMode="External" Target="https://www.legis.iowa.gov/docs/ico/chapter/231.3.pdf" Type="http://schemas.openxmlformats.org/officeDocument/2006/relationships/hyperlink" Id="rId6"/>
    <Relationship TargetMode="External" Target="www.iowafinanceauthority.gov" Type="http://schemas.openxmlformats.org/officeDocument/2006/relationships/hyperlink" Id="rId7"/>
    <Relationship TargetMode="External" Target="https://www.legis.iowa.gov/docs/iac/chapter/441.77.pdf" Type="http://schemas.openxmlformats.org/officeDocument/2006/relationships/hyperlink" Id="rId8"/>
    <Relationship TargetMode="External" Target="https://www.legis.iowa.gov/docs/iac/chapter/481.67.pdf" Type="http://schemas.openxmlformats.org/officeDocument/2006/relationships/hyperlink" Id="rId9"/>
    <Relationship TargetMode="External" Target="https://www.legis.iowa.gov/docs/iac/chapter/481.70.pdf" Type="http://schemas.openxmlformats.org/officeDocument/2006/relationships/hyperlink" Id="rId10"/>
    <Relationship TargetMode="External" Target="https://www.legis.iowa.gov/docs/iac/chapter/441.77.pdf" Type="http://schemas.openxmlformats.org/officeDocument/2006/relationships/hyperlink" Id="rId11"/>
    <Relationship TargetMode="External" Target="https://www.legis.iowa.gov/docs/iac/chapter/441.77.pdf" Type="http://schemas.openxmlformats.org/officeDocument/2006/relationships/hyperlink" Id="rId12"/>
    <Relationship TargetMode="External" Target="https://www.legis.iowa.gov/docs/iac/chapter/441.78.pdf" Type="http://schemas.openxmlformats.org/officeDocument/2006/relationships/hyperlink" Id="rId13"/>
    <Relationship TargetMode="External" Target="https://www.legis.iowa.gov/docs/iac/chapter/17.7.pdf" Type="http://schemas.openxmlformats.org/officeDocument/2006/relationships/hyperlink" Id="rId14"/>
    <Relationship TargetMode="External" Target="https://www.legis.iowa.gov/docs/ico/chapter/16.4.pdf" Type="http://schemas.openxmlformats.org/officeDocument/2006/relationships/hyperlink" Id="rId15"/>
    <Relationship TargetMode="External" Target="https://www.legis.iowa.gov/docs/ico/chapter/16.47.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