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w:t>
      </w:r>
    </w:p>
    <w:p>
      <w:pPr>
        <w:spacing w:before="0" w:after="0"/>
        <w:ind w:left="120"/>
        <w:jc w:val="center"/>
      </w:pPr>
      <w:r>
        <w:rPr>
          <w:rFonts w:ascii="Times New Roman" w:hAnsi="Times New Roman"/>
          <w:b w:val="false"/>
          <w:i w:val="false"/>
          <w:color w:val="000000"/>
          <w:sz w:val="21"/>
        </w:rPr>
        <w:t>SENIOR LIVING REVOLVING LOAN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265—20.1</w:t>
      </w:r>
      <w:r>
        <w:rPr>
          <w:rFonts w:ascii="Times New Roman" w:hAnsi="Times New Roman"/>
          <w:b/>
          <w:i w:val="false"/>
          <w:color w:val="000000"/>
          <w:sz w:val="22"/>
        </w:rPr>
        <w:t xml:space="preserve">(16)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Through its senior living revolving loan program (program), the authority seeks to assist in the development of affordable assisted living and service-enriched affordable housing for seniors and persons with disabilities. This chapter implements </w:t>
      </w:r>
      <w:r>
        <w:rPr>
          <w:rFonts w:ascii="Times New Roman" w:hAnsi="Times New Roman"/>
          <w:b w:val="false"/>
          <w:i w:val="false"/>
          <w:color w:val="000000"/>
          <w:sz w:val="22"/>
        </w:rPr>
        <w:t>2004 Iowa Acts, Senate File 2298</w:t>
      </w:r>
      <w:r>
        <w:rPr>
          <w:rFonts w:ascii="Times New Roman" w:hAnsi="Times New Roman"/>
          <w:b w:val="false"/>
          <w:i w:val="false"/>
          <w:color w:val="000000"/>
          <w:sz w:val="22"/>
        </w:rPr>
        <w:t xml:space="preserve">, section 170, which adds Iowa Code section </w:t>
      </w:r>
      <w:hyperlink r:id="rId5">
        <w:r>
          <w:rPr>
            <w:rStyle w:val="Hyperlink"/>
            <w:rFonts w:ascii="Times New Roman" w:hAnsi="Times New Roman"/>
            <w:b w:val="false"/>
            <w:i w:val="false"/>
            <w:color w:val="000000"/>
            <w:sz w:val="22"/>
          </w:rPr>
          <w:t>16.182</w:t>
        </w:r>
      </w:hyperlink>
      <w:r>
        <w:rPr>
          <w:rFonts w:ascii="Times New Roman" w:hAnsi="Times New Roman"/>
          <w:b w:val="false"/>
          <w:i w:val="false"/>
          <w:color w:val="000000"/>
          <w:sz w:val="22"/>
        </w:rPr>
        <w:t xml:space="preserve"> to the authority’s enabling statute and furthers the goal of the senior living program as specified in Iowa Code section </w:t>
      </w:r>
      <w:hyperlink r:id="rId6">
        <w:r>
          <w:rPr>
            <w:rStyle w:val="Hyperlink"/>
            <w:rFonts w:ascii="Times New Roman" w:hAnsi="Times New Roman"/>
            <w:b w:val="false"/>
            <w:i w:val="false"/>
            <w:color w:val="000000"/>
            <w:sz w:val="22"/>
          </w:rPr>
          <w:t>249H.2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265—20.2</w:t>
      </w:r>
      <w:r>
        <w:rPr>
          <w:rFonts w:ascii="Times New Roman" w:hAnsi="Times New Roman"/>
          <w:b/>
          <w:i w:val="false"/>
          <w:color w:val="000000"/>
          <w:sz w:val="22"/>
        </w:rPr>
        <w:t xml:space="preserve">(16) </w:t>
      </w:r>
      <w:r>
        <w:rPr>
          <w:rFonts w:ascii="Times New Roman" w:hAnsi="Times New Roman"/>
          <w:b/>
          <w:i w:val="false"/>
          <w:color w:val="000000"/>
          <w:sz w:val="22"/>
        </w:rPr>
        <w:t xml:space="preserve">Priority of loan awards. </w:t>
      </w:r>
      <w:r>
        <w:rPr>
          <w:rFonts w:ascii="Times New Roman" w:hAnsi="Times New Roman"/>
          <w:b w:val="false"/>
          <w:i w:val="false"/>
          <w:color w:val="000000"/>
          <w:sz w:val="22"/>
        </w:rPr>
        <w:t xml:space="preserve">It is the authority’s intent to award loans under the program to those applicants that meet all of the requirements of this chapter and satisfy all threshold and underwriting requirements of the applicable qualified allocation plan adopted by the authority pursuant to </w:t>
      </w:r>
      <w:hyperlink r:id="rId7">
        <w:r>
          <w:rPr>
            <w:rStyle w:val="Hyperlink"/>
            <w:rFonts w:ascii="Times New Roman" w:hAnsi="Times New Roman"/>
            <w:b w:val="false"/>
            <w:i w:val="false"/>
            <w:color w:val="000000"/>
            <w:sz w:val="22"/>
          </w:rPr>
          <w:t>265 IAC 12.1(16)</w:t>
        </w:r>
      </w:hyperlink>
      <w:r>
        <w:rPr>
          <w:rFonts w:ascii="Times New Roman" w:hAnsi="Times New Roman"/>
          <w:b w:val="false"/>
          <w:i w:val="false"/>
          <w:color w:val="000000"/>
          <w:sz w:val="22"/>
        </w:rPr>
        <w:t>. The authority intends to award the available funds under this program each year if applicants meet all applicable requirements; provided, however, that the authority may allocate funds available between affordable assisted living and service-enriched housing in the manner it deems most appropriate. For example, the authority may choose to allocate 80 percent of available funds under the program to affordable assisted living housing and 20 percent to service-enriched housing. The authority will announce its expected allocation of funds prior to each tax credit application deadline. To the extent that sufficient funds are not available to fully fund all applications, taking into consideration the authority’s allocation of funds as described above, loans under this program will be funded in the following order of priority: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Applicants awarded tax credits under the affordable assisted living set-aside;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Applicants awarded tax credits under the service-enriched set-aside;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Applicants awarded tax credits outside of a set-aside.</w:t>
      </w:r>
    </w:p>
    <w:p>
      <w:pPr>
        <w:spacing w:before="0" w:after="0"/>
        <w:ind w:left="120"/>
        <w:jc w:val="both"/>
      </w:pPr>
      <w:r>
        <w:rPr>
          <w:rFonts w:ascii="Times New Roman" w:hAnsi="Times New Roman"/>
          <w:b w:val="false"/>
          <w:i w:val="false"/>
          <w:color w:val="000000"/>
          <w:sz w:val="22"/>
        </w:rPr>
        <w:t>Applicants within a set-aside will compete based on points awarded under the qualified allocation plan.</w:t>
      </w:r>
    </w:p>
    <w:p>
      <w:pPr>
        <w:spacing w:before="210" w:after="0"/>
        <w:ind w:left="120"/>
        <w:jc w:val="both"/>
      </w:pPr>
      <w:r>
        <w:rPr>
          <w:rFonts w:ascii="Times New Roman" w:hAnsi="Times New Roman"/>
          <w:b/>
          <w:i w:val="false"/>
          <w:color w:val="000000"/>
          <w:sz w:val="22"/>
        </w:rPr>
        <w:t>265—20.3</w:t>
      </w:r>
      <w:r>
        <w:rPr>
          <w:rFonts w:ascii="Times New Roman" w:hAnsi="Times New Roman"/>
          <w:b/>
          <w:i w:val="false"/>
          <w:color w:val="000000"/>
          <w:sz w:val="22"/>
        </w:rPr>
        <w:t xml:space="preserve">(16) </w:t>
      </w:r>
      <w:r>
        <w:rPr>
          <w:rFonts w:ascii="Times New Roman" w:hAnsi="Times New Roman"/>
          <w:b/>
          <w:i w:val="false"/>
          <w:color w:val="000000"/>
          <w:sz w:val="22"/>
        </w:rPr>
        <w:t xml:space="preserve">Application process. </w:t>
      </w:r>
      <w:r>
        <w:rPr>
          <w:rFonts w:ascii="Times New Roman" w:hAnsi="Times New Roman"/>
          <w:b w:val="false"/>
          <w:i w:val="false"/>
          <w:color w:val="000000"/>
          <w:sz w:val="22"/>
        </w:rPr>
        <w:t xml:space="preserve">Applications will be reviewed as part of an annual competition. Applications must be submitted in conjunction with the applicant’s application for low-income housing tax credits, as set forth in the applicable qualified allocation plan. Once funds have been allocated, the authority will not accept for review any applications seeking funding until the next low-income housing tax credit application deadline. Applications for assistance under this program must be made on forms and in the manner provided by the authority. Inquiries with respect to this program should be made to those persons identified on the authority’s Web site at </w:t>
      </w:r>
      <w:hyperlink r:id="rId8">
        <w:r>
          <w:rPr>
            <w:rStyle w:val="Hyperlink"/>
            <w:rFonts w:ascii="Times New Roman" w:hAnsi="Times New Roman"/>
            <w:b w:val="false"/>
            <w:i w:val="false"/>
            <w:color w:val="000000"/>
            <w:sz w:val="22"/>
            <w:u w:val="single"/>
          </w:rPr>
          <w:t>www.iowafinanceauthority.gov</w:t>
        </w:r>
      </w:hyperlink>
      <w:r>
        <w:rPr>
          <w:rFonts w:ascii="Times New Roman" w:hAnsi="Times New Roman"/>
          <w:b w:val="false"/>
          <w:i w:val="false"/>
          <w:color w:val="000000"/>
          <w:sz w:val="22"/>
        </w:rPr>
        <w:t xml:space="preserve"> as contacts for this program.</w:t>
      </w:r>
    </w:p>
    <w:p>
      <w:pPr>
        <w:spacing w:before="0" w:after="0"/>
        <w:ind w:left="120"/>
        <w:jc w:val="both"/>
      </w:pPr>
      <w:r>
        <w:rPr>
          <w:rFonts w:ascii="Times New Roman" w:hAnsi="Times New Roman"/>
          <w:b/>
          <w:i w:val="false"/>
          <w:color w:val="000000"/>
          <w:sz w:val="22"/>
        </w:rPr>
        <w:t>265—20.4</w:t>
      </w:r>
      <w:r>
        <w:rPr>
          <w:rFonts w:ascii="Times New Roman" w:hAnsi="Times New Roman"/>
          <w:b/>
          <w:i w:val="false"/>
          <w:color w:val="000000"/>
          <w:sz w:val="22"/>
        </w:rPr>
        <w:t xml:space="preserve">(16) </w:t>
      </w:r>
      <w:r>
        <w:rPr>
          <w:rFonts w:ascii="Times New Roman" w:hAnsi="Times New Roman"/>
          <w:b/>
          <w:i w:val="false"/>
          <w:color w:val="000000"/>
          <w:sz w:val="22"/>
        </w:rPr>
        <w:t xml:space="preserve">Program guidelines. </w:t>
      </w:r>
      <w:r>
        <w:rPr>
          <w:rFonts w:ascii="Times New Roman" w:hAnsi="Times New Roman"/>
          <w:b w:val="false"/>
          <w:i w:val="false"/>
          <w:color w:val="000000"/>
          <w:sz w:val="22"/>
        </w:rPr>
        <w:t>For-profit and nonprofit sponsors are eligible to apply for assistance under this program based on the following program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20.4(1)</w:t>
      </w:r>
      <w:r>
        <w:rPr>
          <w:rFonts w:ascii="Times New Roman" w:hAnsi="Times New Roman"/>
          <w:b w:val="false"/>
          <w:i w:val="false"/>
          <w:color w:val="000000"/>
          <w:sz w:val="22"/>
        </w:rPr>
        <w:t> </w:t>
      </w:r>
      <w:r>
        <w:rPr>
          <w:rFonts w:ascii="Times New Roman" w:hAnsi="Times New Roman"/>
          <w:b w:val="false"/>
          <w:i w:val="false"/>
          <w:color w:val="000000"/>
          <w:sz w:val="22"/>
        </w:rPr>
        <w:t>Projects eligible for assistance must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Projects must be developed using low-income housing tax credits.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Applicants must satisfy all of the requirements of the applicable qualified allocation plan, including the plan, application and application instructions, all applicable attachments and exhibits, and applicable provisions of the Internal Revenue Code and the accompanying Treasury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Assistance provided under this program must enable the project to maintain financial feasibility and affordability for at least the term of the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Operating and replacement reserve funds must be adequately funded in the amounts required by the applicable qualified allocation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w:t>
      </w:r>
      <w:r>
        <w:rPr>
          <w:rFonts w:ascii="Times New Roman" w:hAnsi="Times New Roman"/>
          <w:b w:val="false"/>
          <w:i w:val="false"/>
          <w:color w:val="000000"/>
          <w:sz w:val="22"/>
        </w:rPr>
        <w:t> </w:t>
      </w:r>
      <w:r>
        <w:rPr>
          <w:rFonts w:ascii="Times New Roman" w:hAnsi="Times New Roman"/>
          <w:b w:val="false"/>
          <w:i w:val="false"/>
          <w:color w:val="000000"/>
          <w:sz w:val="22"/>
        </w:rPr>
        <w:t>The following types of activities are eligible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Acquisition and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New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Such other similar activities as may be determined by the authority to fall within the guidelines and purposes established for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20.4(3)</w:t>
      </w:r>
      <w:r>
        <w:rPr>
          <w:rFonts w:ascii="Times New Roman" w:hAnsi="Times New Roman"/>
          <w:b w:val="false"/>
          <w:i w:val="false"/>
          <w:color w:val="000000"/>
          <w:sz w:val="22"/>
        </w:rPr>
        <w:t> </w:t>
      </w:r>
      <w:r>
        <w:rPr>
          <w:rFonts w:ascii="Times New Roman" w:hAnsi="Times New Roman"/>
          <w:b w:val="false"/>
          <w:i w:val="false"/>
          <w:color w:val="000000"/>
          <w:sz w:val="22"/>
        </w:rPr>
        <w:t>Assistance will be provided upon the following terms and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Generally, the minimum loan amount is $100,000, and the maximum loan amount is $2,000,000. The maximum loan term and amortization period are each 30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debt service ratio must be at least 1.25:1 for the authority’s first mortgage, as calculated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Interest rates will be set by the authority, in its sole discretion, at or below the applicable federal rate in effect at the time of closing.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Loans shall be secured by a first mortgage. Construction financing may be awarded to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Recipients of assistance must agree to observe several covenants and restrictions, including but not limited to recorded affordability and transfer restrictions, all in accordance with such loan and mortgage documents as may be required by the authority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recipient must provide adequate evidence that its title in the real estate on which the project is to be located is a marketable title pursuant to Iowa Land Title Examination Standards, or other applicable law. Adequate evidence of marketable title is demonstrated by either (1) a title opinion of an attorney authorized to practice law in Iowa showing that the loan recipient has marketable title, or (2) a title guaranty certificate issued by the title guaranty division of the Iowa finance authority showing the recipient as the guaranteed.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Recipients must execute such documents and instruments and must provide such information, certificates and other items as determined necessary by the authority, in its sole discretion, in connection with any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20.4(4)</w:t>
      </w:r>
      <w:r>
        <w:rPr>
          <w:rFonts w:ascii="Times New Roman" w:hAnsi="Times New Roman"/>
          <w:b w:val="false"/>
          <w:i w:val="false"/>
          <w:color w:val="000000"/>
          <w:sz w:val="22"/>
        </w:rPr>
        <w:t> </w:t>
      </w:r>
      <w:r>
        <w:rPr>
          <w:rFonts w:ascii="Times New Roman" w:hAnsi="Times New Roman"/>
          <w:b w:val="false"/>
          <w:i w:val="false"/>
          <w:color w:val="000000"/>
          <w:sz w:val="22"/>
        </w:rPr>
        <w:t>Loan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Loan fees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Commitment fee (construction period) – 1.0 percent of loan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Commitment fee (permanent loan) – 2.0 percent of loan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Inspection fee (construction loan) – 0.5 percent of loan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authority may, in limited cases, reduce such fees if necessary in connection with assistance provided under this program. Such decision will be made in the sole discretion of the authority.</w:t>
      </w:r>
    </w:p>
    <w:p>
      <w:pPr>
        <w:spacing w:before="210" w:after="0"/>
        <w:ind w:left="120"/>
        <w:jc w:val="both"/>
      </w:pPr>
      <w:r>
        <w:rPr>
          <w:rFonts w:ascii="Times New Roman" w:hAnsi="Times New Roman"/>
          <w:b/>
          <w:i w:val="false"/>
          <w:color w:val="000000"/>
          <w:sz w:val="22"/>
        </w:rPr>
        <w:t>265—20.5</w:t>
      </w:r>
      <w:r>
        <w:rPr>
          <w:rFonts w:ascii="Times New Roman" w:hAnsi="Times New Roman"/>
          <w:b/>
          <w:i w:val="false"/>
          <w:color w:val="000000"/>
          <w:sz w:val="22"/>
        </w:rPr>
        <w:t xml:space="preserve">(16) </w:t>
      </w:r>
      <w:r>
        <w:rPr>
          <w:rFonts w:ascii="Times New Roman" w:hAnsi="Times New Roman"/>
          <w:b/>
          <w:i w:val="false"/>
          <w:color w:val="000000"/>
          <w:sz w:val="22"/>
        </w:rPr>
        <w:t xml:space="preserve">Authority analysis of applications. </w:t>
      </w:r>
      <w:r>
        <w:rPr>
          <w:rFonts w:ascii="Times New Roman" w:hAnsi="Times New Roman"/>
          <w:b w:val="false"/>
          <w:i w:val="false"/>
          <w:color w:val="000000"/>
          <w:sz w:val="22"/>
        </w:rPr>
        <w:t>Authority staff will analyze and underwrite each potential project and will make recommendations for funding assistance to the board of the authority. Authority staff will use such procedures and processes in its underwriting and analysis as it deems necessary and appropriate in connection with furthering the purposes of this program. In addition, the authority anticipates that, because of the complex nature of each transaction and the particular set of circumstances attributable to each particular application/transaction, the terms and conditions of loans will vary from project to project. The authority will make available its general operating procedures and guidelines for this program.</w:t>
      </w:r>
    </w:p>
    <w:p>
      <w:pPr>
        <w:spacing w:before="210" w:after="0"/>
        <w:ind w:left="120"/>
        <w:jc w:val="both"/>
      </w:pPr>
      <w:r>
        <w:rPr>
          <w:rFonts w:ascii="Times New Roman" w:hAnsi="Times New Roman"/>
          <w:b/>
          <w:i w:val="false"/>
          <w:color w:val="000000"/>
          <w:sz w:val="22"/>
        </w:rPr>
        <w:t>265—20.6</w:t>
      </w:r>
      <w:r>
        <w:rPr>
          <w:rFonts w:ascii="Times New Roman" w:hAnsi="Times New Roman"/>
          <w:b/>
          <w:i w:val="false"/>
          <w:color w:val="000000"/>
          <w:sz w:val="22"/>
        </w:rPr>
        <w:t xml:space="preserve">(16) </w:t>
      </w:r>
      <w:r>
        <w:rPr>
          <w:rFonts w:ascii="Times New Roman" w:hAnsi="Times New Roman"/>
          <w:b/>
          <w:i w:val="false"/>
          <w:color w:val="000000"/>
          <w:sz w:val="22"/>
        </w:rPr>
        <w:t xml:space="preserve">Discretion of authority board. </w:t>
      </w:r>
      <w:r>
        <w:rPr>
          <w:rFonts w:ascii="Times New Roman" w:hAnsi="Times New Roman"/>
          <w:b w:val="false"/>
          <w:i w:val="false"/>
          <w:color w:val="000000"/>
          <w:sz w:val="22"/>
        </w:rPr>
        <w:t>The authority board of directors has the sole and final discretion to award or not award assistance and to approve final loan terms.</w:t>
      </w:r>
    </w:p>
    <w:p>
      <w:pPr>
        <w:spacing w:before="210" w:after="0"/>
        <w:ind w:left="120"/>
        <w:jc w:val="both"/>
      </w:pPr>
      <w:r>
        <w:rPr>
          <w:rFonts w:ascii="Times New Roman" w:hAnsi="Times New Roman"/>
          <w:b/>
          <w:i w:val="false"/>
          <w:color w:val="000000"/>
          <w:sz w:val="22"/>
        </w:rPr>
        <w:t>265—20.7</w:t>
      </w:r>
      <w:r>
        <w:rPr>
          <w:rFonts w:ascii="Times New Roman" w:hAnsi="Times New Roman"/>
          <w:b/>
          <w:i w:val="false"/>
          <w:color w:val="000000"/>
          <w:sz w:val="22"/>
        </w:rPr>
        <w:t xml:space="preserve">(16) </w:t>
      </w:r>
      <w:r>
        <w:rPr>
          <w:rFonts w:ascii="Times New Roman" w:hAnsi="Times New Roman"/>
          <w:b/>
          <w:i w:val="false"/>
          <w:color w:val="000000"/>
          <w:sz w:val="22"/>
        </w:rPr>
        <w:t xml:space="preserve">Closing/advance of funds. </w:t>
      </w:r>
      <w:r>
        <w:rPr>
          <w:rFonts w:ascii="Times New Roman" w:hAnsi="Times New Roman"/>
          <w:b w:val="false"/>
          <w:i w:val="false"/>
          <w:color w:val="000000"/>
          <w:sz w:val="22"/>
        </w:rPr>
        <w:t>If all requirements of the authority are not met in accordance with any time frames set by the authority and to the complete satisfaction of the authority, all in the sole discretion of the authority, the authority may determine to cease work on an approved project and, accordingly, not advance any funds for such project.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16.5(17)</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2004 Iowa Acts, Senate File 2298</w:t>
      </w:r>
      <w:r>
        <w:rPr>
          <w:rFonts w:ascii="Times New Roman" w:hAnsi="Times New Roman"/>
          <w:b w:val="false"/>
          <w:i w:val="false"/>
          <w:color w:val="000000"/>
          <w:sz w:val="22"/>
        </w:rPr>
        <w:t>, section 170.</w:t>
      </w:r>
    </w:p>
    <w:p>
      <w:pPr>
        <w:spacing w:before="0" w:after="0"/>
        <w:ind w:left="120"/>
        <w:jc w:val="center"/>
      </w:pPr>
      <w:r>
        <w:rPr>
          <w:rFonts w:ascii="Times New Roman" w:hAnsi="Times New Roman"/>
          <w:b w:val="false"/>
          <w:i w:val="false"/>
          <w:color w:val="000000"/>
          <w:sz w:val="21"/>
        </w:rPr>
        <w:t>[Filed 9/9/04, Notice 8/4/04—published 9/29/04, effective 11/3/04]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182.pdf" Type="http://schemas.openxmlformats.org/officeDocument/2006/relationships/hyperlink" Id="rId5"/>
    <Relationship TargetMode="External" Target="https://www.legis.iowa.gov/docs/ico/chapter/249H.2.pdf" Type="http://schemas.openxmlformats.org/officeDocument/2006/relationships/hyperlink" Id="rId6"/>
    <Relationship TargetMode="External" Target="https://www.legis.iowa.gov/docs/iac/rule/265.12.1.pdf" Type="http://schemas.openxmlformats.org/officeDocument/2006/relationships/hyperlink" Id="rId7"/>
    <Relationship TargetMode="External" Target="www.iowafinanceauthority.gov" Type="http://schemas.openxmlformats.org/officeDocument/2006/relationships/hyperlink" Id="rId8"/>
    <Relationship TargetMode="External" Target="https://www.legis.iowa.gov/docs/ico/chapter/16.5.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