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STATE HOUSING TRUST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265—19.1</w:t>
      </w:r>
      <w:r>
        <w:rPr>
          <w:rFonts w:ascii="Times New Roman" w:hAnsi="Times New Roman"/>
          <w:b/>
          <w:i w:val="false"/>
          <w:color w:val="000000"/>
          <w:sz w:val="22"/>
        </w:rPr>
        <w:t xml:space="preserve">(16) </w:t>
      </w:r>
      <w:r>
        <w:rPr>
          <w:rFonts w:ascii="Times New Roman" w:hAnsi="Times New Roman"/>
          <w:b/>
          <w:i w:val="false"/>
          <w:color w:val="000000"/>
          <w:sz w:val="22"/>
        </w:rPr>
        <w:t xml:space="preserve">Trust fund allocation plans. </w:t>
      </w:r>
      <w:r>
        <w:rPr>
          <w:rFonts w:ascii="Times New Roman" w:hAnsi="Times New Roman"/>
          <w:b w:val="false"/>
          <w:i w:val="false"/>
          <w:color w:val="000000"/>
          <w:sz w:val="22"/>
        </w:rPr>
        <w:t xml:space="preserve">The trust fund allocation plan entitled Iowa Finance Authority State Housing Trust Fund Allocation Plan for the Local Housing Trust Fund Program dated September 2021 shall be the allocation plan for the award, pursuant to the local housing trust fund program, of funds held within the state housing trust fund established in Iowa Code section </w:t>
      </w:r>
      <w:hyperlink r:id="rId5">
        <w:r>
          <w:rPr>
            <w:rStyle w:val="Hyperlink"/>
            <w:rFonts w:ascii="Times New Roman" w:hAnsi="Times New Roman"/>
            <w:b w:val="false"/>
            <w:i w:val="false"/>
            <w:color w:val="000000"/>
            <w:sz w:val="22"/>
          </w:rPr>
          <w:t>16.181</w:t>
        </w:r>
      </w:hyperlink>
      <w:r>
        <w:rPr>
          <w:rFonts w:ascii="Times New Roman" w:hAnsi="Times New Roman"/>
          <w:b w:val="false"/>
          <w:i w:val="false"/>
          <w:color w:val="000000"/>
          <w:sz w:val="22"/>
        </w:rPr>
        <w:t xml:space="preserve">. The trust fund allocation plan entitled Iowa Finance Authority State Housing Trust Fund Allocation Plan for the Project-Based Housing Program dated June 2009 shall be the allocation plan for the distribution, pursuant to the project-based housing program, of funds held within the state housing trust fund. The trust fund allocation plans for the local housing trust fund program and the project-based housing program include the plans, applications, and application instructions. The trust fund allocation plans for the local housing trust fund program and the project-based housing program are incorporated by reference pursuant to Iowa Code section </w:t>
      </w:r>
      <w:hyperlink r:id="rId6">
        <w:r>
          <w:rPr>
            <w:rStyle w:val="Hyperlink"/>
            <w:rFonts w:ascii="Times New Roman" w:hAnsi="Times New Roman"/>
            <w:b w:val="false"/>
            <w:i w:val="false"/>
            <w:color w:val="000000"/>
            <w:sz w:val="22"/>
          </w:rPr>
          <w:t>17A.6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265—subrules 17.4(2)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17.12(2)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7850B</w:t>
      </w:r>
      <w:r>
        <w:rPr>
          <w:rFonts w:ascii="Times New Roman" w:hAnsi="Times New Roman"/>
          <w:b w:val="false"/>
          <w:i w:val="false"/>
          <w:color w:val="000000"/>
          <w:sz w:val="16"/>
        </w:rPr>
        <w:t>, IAB 6/17/09, effective 5/26/09</w:t>
      </w:r>
      <w:r>
        <w:rPr>
          <w:rFonts w:ascii="Times New Roman" w:hAnsi="Times New Roman"/>
          <w:b w:val="false"/>
          <w:i w:val="false"/>
          <w:color w:val="000000"/>
          <w:sz w:val="16"/>
        </w:rPr>
        <w:t xml:space="preserve">; </w:t>
      </w:r>
      <w:r>
        <w:rPr>
          <w:rFonts w:ascii="Times New Roman" w:hAnsi="Times New Roman"/>
          <w:b/>
          <w:i w:val="false"/>
          <w:color w:val="000000"/>
          <w:sz w:val="16"/>
        </w:rPr>
        <w:t>ARC 8073B</w:t>
      </w:r>
      <w:r>
        <w:rPr>
          <w:rFonts w:ascii="Times New Roman" w:hAnsi="Times New Roman"/>
          <w:b w:val="false"/>
          <w:i w:val="false"/>
          <w:color w:val="000000"/>
          <w:sz w:val="16"/>
        </w:rPr>
        <w:t>, IAB 8/26/09, effective 9/30/09</w:t>
      </w:r>
      <w:r>
        <w:rPr>
          <w:rFonts w:ascii="Times New Roman" w:hAnsi="Times New Roman"/>
          <w:b w:val="false"/>
          <w:i w:val="false"/>
          <w:color w:val="000000"/>
          <w:sz w:val="16"/>
        </w:rPr>
        <w:t xml:space="preserve">; </w:t>
      </w:r>
      <w:r>
        <w:rPr>
          <w:rFonts w:ascii="Times New Roman" w:hAnsi="Times New Roman"/>
          <w:b/>
          <w:i w:val="false"/>
          <w:color w:val="000000"/>
          <w:sz w:val="16"/>
        </w:rPr>
        <w:t>ARC 4452C</w:t>
      </w:r>
      <w:r>
        <w:rPr>
          <w:rFonts w:ascii="Times New Roman" w:hAnsi="Times New Roman"/>
          <w:b w:val="false"/>
          <w:i w:val="false"/>
          <w:color w:val="000000"/>
          <w:sz w:val="16"/>
        </w:rPr>
        <w:t>, IAB 8/26/09, effective 6/26/19</w:t>
      </w:r>
      <w:r>
        <w:rPr>
          <w:rFonts w:ascii="Times New Roman" w:hAnsi="Times New Roman"/>
          <w:b w:val="false"/>
          <w:i w:val="false"/>
          <w:color w:val="000000"/>
          <w:sz w:val="16"/>
        </w:rPr>
        <w:t xml:space="preserve">; </w:t>
      </w:r>
      <w:r>
        <w:rPr>
          <w:rFonts w:ascii="Times New Roman" w:hAnsi="Times New Roman"/>
          <w:b/>
          <w:i w:val="false"/>
          <w:color w:val="000000"/>
          <w:sz w:val="16"/>
        </w:rPr>
        <w:t>ARC 5933C</w:t>
      </w:r>
      <w:r>
        <w:rPr>
          <w:rFonts w:ascii="Times New Roman" w:hAnsi="Times New Roman"/>
          <w:b w:val="false"/>
          <w:i w:val="false"/>
          <w:color w:val="000000"/>
          <w:sz w:val="16"/>
        </w:rPr>
        <w:t>, IAB 10/6/21, effective 9/13/21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265—19.2</w:t>
      </w:r>
      <w:r>
        <w:rPr>
          <w:rFonts w:ascii="Times New Roman" w:hAnsi="Times New Roman"/>
          <w:b/>
          <w:i w:val="false"/>
          <w:color w:val="000000"/>
          <w:sz w:val="22"/>
        </w:rPr>
        <w:t xml:space="preserve">(16) </w:t>
      </w:r>
      <w:r>
        <w:rPr>
          <w:rFonts w:ascii="Times New Roman" w:hAnsi="Times New Roman"/>
          <w:b/>
          <w:i w:val="false"/>
          <w:color w:val="000000"/>
          <w:sz w:val="22"/>
        </w:rPr>
        <w:t xml:space="preserve">Location of copies of the plans. </w:t>
      </w:r>
      <w:r>
        <w:rPr>
          <w:rFonts w:ascii="Times New Roman" w:hAnsi="Times New Roman"/>
          <w:b w:val="false"/>
          <w:i w:val="false"/>
          <w:color w:val="000000"/>
          <w:sz w:val="22"/>
        </w:rPr>
        <w:t xml:space="preserve">The trust fund allocation plans for the local housing trust fund program and the project-based housing program may be reviewed and copied in their entirety on the authority’s website at </w:t>
      </w:r>
      <w:hyperlink r:id="rId9">
        <w:r>
          <w:rPr>
            <w:rStyle w:val="Hyperlink"/>
            <w:rFonts w:ascii="Times New Roman" w:hAnsi="Times New Roman"/>
            <w:b w:val="false"/>
            <w:i w:val="false"/>
            <w:color w:val="000000"/>
            <w:sz w:val="22"/>
            <w:u w:val="single"/>
          </w:rPr>
          <w:t>www.iowafinance.com</w:t>
        </w:r>
      </w:hyperlink>
      <w:r>
        <w:rPr>
          <w:rFonts w:ascii="Times New Roman" w:hAnsi="Times New Roman"/>
          <w:b w:val="false"/>
          <w:i w:val="false"/>
          <w:color w:val="000000"/>
          <w:sz w:val="22"/>
        </w:rPr>
        <w:t xml:space="preserve">. Copies of the trust fund allocation plans for the local housing trust fund program and the project-based housing program shall be deposited with the administrative rules coordinator and at the state law library. The plans incorporate by reference Iowa Code section </w:t>
      </w:r>
      <w:hyperlink r:id="rId10">
        <w:r>
          <w:rPr>
            <w:rStyle w:val="Hyperlink"/>
            <w:rFonts w:ascii="Times New Roman" w:hAnsi="Times New Roman"/>
            <w:b w:val="false"/>
            <w:i w:val="false"/>
            <w:color w:val="000000"/>
            <w:sz w:val="22"/>
          </w:rPr>
          <w:t>16.181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5933C</w:t>
      </w:r>
      <w:r>
        <w:rPr>
          <w:rFonts w:ascii="Times New Roman" w:hAnsi="Times New Roman"/>
          <w:b w:val="false"/>
          <w:i w:val="false"/>
          <w:color w:val="000000"/>
          <w:sz w:val="16"/>
        </w:rPr>
        <w:t>, IAB 10/6/21, effective 9/13/21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16.5(1)</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16.181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11/6/03, Notice 10/1/03—published 11/26/03, effective 12/31/03]</w:t>
      </w:r>
    </w:p>
    <w:p>
      <w:pPr>
        <w:spacing w:before="0" w:after="0"/>
        <w:ind w:left="120"/>
        <w:jc w:val="center"/>
      </w:pPr>
      <w:r>
        <w:rPr>
          <w:rFonts w:ascii="Times New Roman" w:hAnsi="Times New Roman"/>
          <w:b w:val="false"/>
          <w:i w:val="false"/>
          <w:color w:val="000000"/>
          <w:sz w:val="21"/>
        </w:rPr>
        <w:t>[Filed 10/8/04, Notice 8/4/04—published 10/27/04, effective 12/1/04]</w:t>
      </w:r>
    </w:p>
    <w:p>
      <w:pPr>
        <w:spacing w:before="0" w:after="0"/>
        <w:ind w:left="120"/>
        <w:jc w:val="center"/>
      </w:pPr>
      <w:r>
        <w:rPr>
          <w:rFonts w:ascii="Times New Roman" w:hAnsi="Times New Roman"/>
          <w:b w:val="false"/>
          <w:i w:val="false"/>
          <w:color w:val="000000"/>
          <w:sz w:val="21"/>
        </w:rPr>
        <w:t>[Filed 6/16/06, Notice 3/1/06—published 7/5/06, effective 8/9/06]</w:t>
      </w:r>
    </w:p>
    <w:p>
      <w:pPr>
        <w:spacing w:before="0" w:after="0"/>
        <w:ind w:left="120"/>
        <w:jc w:val="center"/>
      </w:pPr>
      <w:r>
        <w:rPr>
          <w:rFonts w:ascii="Times New Roman" w:hAnsi="Times New Roman"/>
          <w:b w:val="false"/>
          <w:i w:val="false"/>
          <w:color w:val="000000"/>
          <w:sz w:val="21"/>
        </w:rPr>
        <w:t>[Filed 6/27/07, Notice 5/23/07—published 7/18/07, effective 8/22/07]</w:t>
      </w:r>
    </w:p>
    <w:p>
      <w:pPr>
        <w:spacing w:before="0" w:after="0"/>
        <w:ind w:left="120"/>
        <w:jc w:val="center"/>
      </w:pPr>
      <w:r>
        <w:rPr>
          <w:rFonts w:ascii="Times New Roman" w:hAnsi="Times New Roman"/>
          <w:b w:val="false"/>
          <w:i w:val="false"/>
          <w:color w:val="000000"/>
          <w:sz w:val="21"/>
        </w:rPr>
        <w:t>[Filed 10/3/07, Notice 8/15/07—published 10/24/07, effective 11/28/07]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7850B, IAB 6/17/09, effective 5/26/09]</w:t>
      </w:r>
    </w:p>
    <w:p>
      <w:pPr>
        <w:spacing w:before="0" w:after="0"/>
        <w:ind w:left="120"/>
        <w:jc w:val="center"/>
      </w:pPr>
      <w:r>
        <w:rPr>
          <w:rFonts w:ascii="Times New Roman" w:hAnsi="Times New Roman"/>
          <w:b w:val="false"/>
          <w:i w:val="false"/>
          <w:color w:val="000000"/>
          <w:sz w:val="21"/>
        </w:rPr>
        <w:t>[Filed ARC 8073B</w:t>
      </w:r>
      <w:r>
        <w:rPr>
          <w:rFonts w:ascii="Times New Roman" w:hAnsi="Times New Roman"/>
          <w:b w:val="false"/>
          <w:i w:val="false"/>
          <w:color w:val="000000"/>
          <w:sz w:val="21"/>
        </w:rPr>
        <w:t xml:space="preserve"> (Notice ARC 7895B, IAB 7/1/09)</w:t>
      </w:r>
      <w:r>
        <w:rPr>
          <w:rFonts w:ascii="Times New Roman" w:hAnsi="Times New Roman"/>
          <w:b w:val="false"/>
          <w:i w:val="false"/>
          <w:color w:val="000000"/>
          <w:sz w:val="21"/>
        </w:rPr>
        <w:t>, IAB 8/26/09, effective 9/30/09]</w:t>
      </w:r>
    </w:p>
    <w:p>
      <w:pPr>
        <w:spacing w:before="0" w:after="0"/>
        <w:ind w:left="120"/>
        <w:jc w:val="center"/>
      </w:pPr>
      <w:r>
        <w:rPr>
          <w:rFonts w:ascii="Times New Roman" w:hAnsi="Times New Roman"/>
          <w:b w:val="false"/>
          <w:i w:val="false"/>
          <w:color w:val="000000"/>
          <w:sz w:val="21"/>
        </w:rPr>
        <w:t>[Filed ARC 4452C</w:t>
      </w:r>
      <w:r>
        <w:rPr>
          <w:rFonts w:ascii="Times New Roman" w:hAnsi="Times New Roman"/>
          <w:b w:val="false"/>
          <w:i w:val="false"/>
          <w:color w:val="000000"/>
          <w:sz w:val="21"/>
        </w:rPr>
        <w:t xml:space="preserve"> (Notice ARC 4371C, IAB 3/27/19)</w:t>
      </w:r>
      <w:r>
        <w:rPr>
          <w:rFonts w:ascii="Times New Roman" w:hAnsi="Times New Roman"/>
          <w:b w:val="false"/>
          <w:i w:val="false"/>
          <w:color w:val="000000"/>
          <w:sz w:val="21"/>
        </w:rPr>
        <w:t>, IAB 5/22/19, effective 6/26/19]</w:t>
      </w:r>
    </w:p>
    <w:p>
      <w:pPr>
        <w:spacing w:before="0" w:after="0"/>
        <w:ind w:left="120"/>
        <w:jc w:val="center"/>
      </w:pPr>
      <w:r>
        <w:rPr>
          <w:rFonts w:ascii="Times New Roman" w:hAnsi="Times New Roman"/>
          <w:b w:val="false"/>
          <w:i w:val="false"/>
          <w:color w:val="000000"/>
          <w:sz w:val="21"/>
        </w:rPr>
        <w:t>[Filed Emergency After Notice ARC 5933C</w:t>
      </w:r>
      <w:r>
        <w:rPr>
          <w:rFonts w:ascii="Times New Roman" w:hAnsi="Times New Roman"/>
          <w:b w:val="false"/>
          <w:i w:val="false"/>
          <w:color w:val="000000"/>
          <w:sz w:val="21"/>
        </w:rPr>
        <w:t xml:space="preserve"> (Notice ARC 5793C, IAB 7/28/21)</w:t>
      </w:r>
      <w:r>
        <w:rPr>
          <w:rFonts w:ascii="Times New Roman" w:hAnsi="Times New Roman"/>
          <w:b w:val="false"/>
          <w:i w:val="false"/>
          <w:color w:val="000000"/>
          <w:sz w:val="21"/>
        </w:rPr>
        <w:t>, IAB 10/6/21, effective 9/13/21]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81.pdf" Type="http://schemas.openxmlformats.org/officeDocument/2006/relationships/hyperlink" Id="rId5"/>
    <Relationship TargetMode="External" Target="https://www.legis.iowa.gov/docs/ico/chapter/17A.6.pdf" Type="http://schemas.openxmlformats.org/officeDocument/2006/relationships/hyperlink" Id="rId6"/>
    <Relationship TargetMode="External" Target="https://www.legis.iowa.gov/docs/iac/rule/265.17.4.pdf" Type="http://schemas.openxmlformats.org/officeDocument/2006/relationships/hyperlink" Id="rId7"/>
    <Relationship TargetMode="External" Target="https://www.legis.iowa.gov/docs/iac/rule/265.17.12.pdf" Type="http://schemas.openxmlformats.org/officeDocument/2006/relationships/hyperlink" Id="rId8"/>
    <Relationship TargetMode="External" Target="http://www.iowafinance.com" Type="http://schemas.openxmlformats.org/officeDocument/2006/relationships/hyperlink" Id="rId9"/>
    <Relationship TargetMode="External" Target="https://www.legis.iowa.gov/docs/ico/chapter/16.181.pdf" Type="http://schemas.openxmlformats.org/officeDocument/2006/relationships/hyperlink" Id="rId10"/>
    <Relationship TargetMode="External" Target="https://www.legis.iowa.gov/docs/ico/chapter/16.5.pdf" Type="http://schemas.openxmlformats.org/officeDocument/2006/relationships/hyperlink" Id="rId11"/>
    <Relationship TargetMode="External" Target="https://www.legis.iowa.gov/docs/ico/chapter/16.181.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