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265—18.1</w:t>
      </w:r>
      <w:r>
        <w:rPr>
          <w:rFonts w:ascii="Times New Roman" w:hAnsi="Times New Roman"/>
          <w:b/>
          <w:i w:val="false"/>
          <w:color w:val="000000"/>
          <w:sz w:val="22"/>
        </w:rPr>
        <w:t xml:space="preserve">(17A,16)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16.1(7)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17A.2(9)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17A.9A(5)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265—18.2</w:t>
      </w:r>
      <w:r>
        <w:rPr>
          <w:rFonts w:ascii="Times New Roman" w:hAnsi="Times New Roman"/>
          <w:b/>
          <w:i w:val="false"/>
          <w:color w:val="000000"/>
          <w:sz w:val="22"/>
        </w:rPr>
        <w:t xml:space="preserve">(17A,16) </w:t>
      </w:r>
      <w:r>
        <w:rPr>
          <w:rFonts w:ascii="Times New Roman" w:hAnsi="Times New Roman"/>
          <w:b/>
          <w:i w:val="false"/>
          <w:color w:val="000000"/>
          <w:sz w:val="22"/>
        </w:rPr>
        <w:t xml:space="preserve">Applicability of chapter. </w:t>
      </w:r>
      <w:r>
        <w:rPr>
          <w:rFonts w:ascii="Times New Roman" w:hAnsi="Times New Roman"/>
          <w:b w:val="false"/>
          <w:i w:val="false"/>
          <w:color w:val="000000"/>
          <w:sz w:val="22"/>
        </w:rPr>
        <w:t xml:space="preserve">The authority may grant a waiver of a rule as permitted by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265—18.3</w:t>
      </w:r>
      <w:r>
        <w:rPr>
          <w:rFonts w:ascii="Times New Roman" w:hAnsi="Times New Roman"/>
          <w:b/>
          <w:i w:val="false"/>
          <w:color w:val="000000"/>
          <w:sz w:val="22"/>
        </w:rPr>
        <w:t xml:space="preserve">(17A,16)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filed pursuant to this chapter, the authority may grant a waiver if the authority finds, based on clear and convincing evidence, all of the factors listed in Iowa Code section </w:t>
      </w:r>
      <w:hyperlink r:id="rId10">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265—18.4</w:t>
      </w:r>
      <w:r>
        <w:rPr>
          <w:rFonts w:ascii="Times New Roman" w:hAnsi="Times New Roman"/>
          <w:b/>
          <w:i w:val="false"/>
          <w:color w:val="000000"/>
          <w:sz w:val="22"/>
        </w:rPr>
        <w:t xml:space="preserve">(17A,16)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 xml:space="preserve">Petitions for waiver should be submitted in writing to Director, Iowa Finance Authority, 1963 Bell Avenue, Suite 200, Des Moines, Iowa 50315. If the petition relates to a pending contested case, the petition is filed in the contested case proceeding using the caption of the contested case. Petitions may be delivered by email to an email address supplied by the authority’s legal counsel.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265—18.5</w:t>
      </w:r>
      <w:r>
        <w:rPr>
          <w:rFonts w:ascii="Times New Roman" w:hAnsi="Times New Roman"/>
          <w:b/>
          <w:i w:val="false"/>
          <w:color w:val="000000"/>
          <w:sz w:val="22"/>
        </w:rPr>
        <w:t xml:space="preserve">(17A,16)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completed petition for waiver includes the following information where applicable and known to the petitioner: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criteria described in Iowa Code section </w:t>
      </w:r>
      <w:hyperlink r:id="rId11">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authority and the petitioner relating to the regulated activity, license, financial assistance, or incentives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petitioner regarding the authority’s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that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who would be adversely affected by the granting of a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authority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265—18.6</w:t>
      </w:r>
      <w:r>
        <w:rPr>
          <w:rFonts w:ascii="Times New Roman" w:hAnsi="Times New Roman"/>
          <w:b/>
          <w:i w:val="false"/>
          <w:color w:val="000000"/>
          <w:sz w:val="22"/>
        </w:rPr>
        <w:t xml:space="preserve">(17A,16) </w:t>
      </w:r>
      <w:r>
        <w:rPr>
          <w:rFonts w:ascii="Times New Roman" w:hAnsi="Times New Roman"/>
          <w:b/>
          <w:i w:val="false"/>
          <w:color w:val="000000"/>
          <w:sz w:val="22"/>
        </w:rPr>
        <w:t xml:space="preserve">Notice. </w:t>
      </w:r>
      <w:r>
        <w:rPr>
          <w:rFonts w:ascii="Times New Roman" w:hAnsi="Times New Roman"/>
          <w:b w:val="false"/>
          <w:i w:val="false"/>
          <w:color w:val="000000"/>
          <w:sz w:val="22"/>
        </w:rPr>
        <w:t>The authority will acknowledge a petition within five business days of its receipt. Within 30 days of the receipt of the petition, the authority will provide notice of the pendency of the petition and a copy of the petition or a concise summary of the petition to all persons to whom notice is required by any provision of law. In addition, the authority may give notice to other persons. To accomplish this provision, the authority may require the petitioner to serve the notice on all persons to whom notice is required by any provision of law and provide a written statement to the authority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265—18.7</w:t>
      </w:r>
      <w:r>
        <w:rPr>
          <w:rFonts w:ascii="Times New Roman" w:hAnsi="Times New Roman"/>
          <w:b/>
          <w:i w:val="false"/>
          <w:color w:val="000000"/>
          <w:sz w:val="22"/>
        </w:rPr>
        <w:t xml:space="preserve">(17A,16)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12">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any petition for a waiver is filed within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authority so provides by rule or order; 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w:t>
      </w:r>
      <w:r>
        <w:rPr>
          <w:rFonts w:ascii="Times New Roman" w:hAnsi="Times New Roman"/>
          <w:b w:val="false"/>
          <w:i w:val="false"/>
          <w:color w:val="000000"/>
          <w:sz w:val="22"/>
        </w:rPr>
        <w:t> </w:t>
      </w:r>
      <w:r>
        <w:rPr>
          <w:rFonts w:ascii="Times New Roman" w:hAnsi="Times New Roman"/>
          <w:b w:val="false"/>
          <w:i w:val="false"/>
          <w:color w:val="000000"/>
          <w:sz w:val="22"/>
        </w:rPr>
        <w:t>When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265—18.8</w:t>
      </w:r>
      <w:r>
        <w:rPr>
          <w:rFonts w:ascii="Times New Roman" w:hAnsi="Times New Roman"/>
          <w:b/>
          <w:i w:val="false"/>
          <w:color w:val="000000"/>
          <w:sz w:val="22"/>
        </w:rPr>
        <w:t xml:space="preserve">(17A,16) </w:t>
      </w:r>
      <w:r>
        <w:rPr>
          <w:rFonts w:ascii="Times New Roman" w:hAnsi="Times New Roman"/>
          <w:b/>
          <w:i w:val="false"/>
          <w:color w:val="000000"/>
          <w:sz w:val="22"/>
        </w:rPr>
        <w:t xml:space="preserve">Authority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authority may request additional information from the petitioner relative to the petition and surrounding circumstances. The authority may schedule a meeting between the petitioner and the authority or, if the petition was filed in a contested case, between the petitioner and all parties to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Code standards. </w:t>
      </w:r>
      <w:r>
        <w:rPr>
          <w:rFonts w:ascii="Times New Roman" w:hAnsi="Times New Roman"/>
          <w:b w:val="false"/>
          <w:i w:val="false"/>
          <w:color w:val="000000"/>
          <w:sz w:val="22"/>
        </w:rPr>
        <w:t xml:space="preserve">The authority applies the standards and burdens in Iowa Code section </w:t>
      </w:r>
      <w:hyperlink r:id="rId13">
        <w:r>
          <w:rPr>
            <w:rStyle w:val="Hyperlink"/>
            <w:rFonts w:ascii="Times New Roman" w:hAnsi="Times New Roman"/>
            <w:b w:val="false"/>
            <w:i w:val="false"/>
            <w:color w:val="000000"/>
            <w:sz w:val="22"/>
          </w:rPr>
          <w:t>17A.9A(3)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18.8(3)</w:t>
      </w:r>
      <w:r>
        <w:rPr>
          <w:rFonts w:ascii="Times New Roman" w:hAnsi="Times New Roman"/>
          <w:b w:val="false"/>
          <w:i w:val="false"/>
          <w:color w:val="000000"/>
          <w:sz w:val="22"/>
        </w:rPr>
        <w:t> </w:t>
      </w:r>
      <w:r>
        <w:rPr>
          <w:rFonts w:ascii="Times New Roman" w:hAnsi="Times New Roman"/>
          <w:b w:val="false"/>
          <w:i/>
          <w:color w:val="000000"/>
          <w:sz w:val="22"/>
        </w:rPr>
        <w:t xml:space="preserve">Final discretion. </w:t>
      </w:r>
      <w:r>
        <w:rPr>
          <w:rFonts w:ascii="Times New Roman" w:hAnsi="Times New Roman"/>
          <w:b w:val="false"/>
          <w:i w:val="false"/>
          <w:color w:val="000000"/>
          <w:sz w:val="22"/>
        </w:rPr>
        <w:t xml:space="preserve">The final decision on whether the circumstances justify the granting of a waiver is in the sole discretion of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18.8(4)</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 xml:space="preserve">An order granting or denying a waiver will be in writing and will contain a reference to the particular person and rule or portion thereof to which the order pertains, a statement of the relevant facts and reasons upon which the action is based, and a description of the precise scope and duration of the waiver if one is granted.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 xml:space="preserve">When the rule from which a waiver is sought establishes administrative deadlines, the authority will balance the special individual circumstances of the petitioner with the overall goal of uniform treatment of all similarly situated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authority will grant or deny a petition for a waiver as soon as practicable but, in any event, will do so within 90 days of its receipt unless the petitioner agrees to a later date. However, if a petition is filed in a pending contested case, the authority will grant or deny the petition no later than the time at which the final decision in that matter is issued. Failure of the authority to grant or deny a petition within the required time period is deemed a denial of that petition by the authority. However, the authority remains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18.8(7)</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the authority will transmit an order issued under this chapter to the petitioner or any other person entitled to such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265—18.9</w:t>
      </w:r>
      <w:r>
        <w:rPr>
          <w:rFonts w:ascii="Times New Roman" w:hAnsi="Times New Roman"/>
          <w:b/>
          <w:i w:val="false"/>
          <w:color w:val="000000"/>
          <w:sz w:val="22"/>
        </w:rPr>
        <w:t xml:space="preserve">(17A,16)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The authority will comply with the public availability and filing procedures of Iowa Code section </w:t>
      </w:r>
      <w:hyperlink r:id="rId14">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265—18.10</w:t>
      </w:r>
      <w:r>
        <w:rPr>
          <w:rFonts w:ascii="Times New Roman" w:hAnsi="Times New Roman"/>
          <w:b/>
          <w:i w:val="false"/>
          <w:color w:val="000000"/>
          <w:sz w:val="22"/>
        </w:rPr>
        <w:t xml:space="preserve">(17A,16) </w:t>
      </w:r>
      <w:r>
        <w:rPr>
          <w:rFonts w:ascii="Times New Roman" w:hAnsi="Times New Roman"/>
          <w:b/>
          <w:i w:val="false"/>
          <w:color w:val="000000"/>
          <w:sz w:val="22"/>
        </w:rPr>
        <w:t xml:space="preserve">After issuance of a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18.10(1)</w:t>
      </w:r>
      <w:r>
        <w:rPr>
          <w:rFonts w:ascii="Times New Roman" w:hAnsi="Times New Roman"/>
          <w:b w:val="false"/>
          <w:i w:val="false"/>
          <w:color w:val="000000"/>
          <w:sz w:val="22"/>
        </w:rPr>
        <w:t> </w:t>
      </w:r>
      <w:r>
        <w:rPr>
          <w:rFonts w:ascii="Times New Roman" w:hAnsi="Times New Roman"/>
          <w:b w:val="false"/>
          <w:i/>
          <w:color w:val="000000"/>
          <w:sz w:val="22"/>
        </w:rPr>
        <w:t xml:space="preserve">Voiding or cancellation. </w:t>
      </w:r>
      <w:r>
        <w:rPr>
          <w:rFonts w:ascii="Times New Roman" w:hAnsi="Times New Roman"/>
          <w:b w:val="false"/>
          <w:i w:val="false"/>
          <w:color w:val="000000"/>
          <w:sz w:val="22"/>
        </w:rPr>
        <w:t>A waiver is void if the material facts upon which the petition is based are not true or if material facts have been withheld. The authority may withdraw, cancel or modify a waiver if, after appropriate notice and hearing, the authority issues an order finding any of the following: facts as stated in the request are not true; material facts have been withheld; the alternative means of compliance provided in the waiver have failed to achieve the objectives of the statute or substantially equal protection of public health, safety, and welfare; or the requester has failed to comply with the conditions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18.10(2)</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is the equivalent of a violation of the particular rule for which the waiver is granted. The recipient of a waiver under this chapter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18.10(3)</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authority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authority’s decision to grant or deny a waiver petition may be undertaken in accordance with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17">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6/8/01, Notice 4/4/01—published 6/27/01, effective 8/1/01]</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5642C</w:t>
      </w:r>
      <w:r>
        <w:rPr>
          <w:rFonts w:ascii="Times New Roman" w:hAnsi="Times New Roman"/>
          <w:b w:val="false"/>
          <w:i w:val="false"/>
          <w:color w:val="000000"/>
          <w:sz w:val="21"/>
        </w:rPr>
        <w:t xml:space="preserve"> (Notice ARC 5412C, IAB 2/10/21)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8435C</w:t>
      </w:r>
      <w:r>
        <w:rPr>
          <w:rFonts w:ascii="Times New Roman" w:hAnsi="Times New Roman"/>
          <w:b w:val="false"/>
          <w:i w:val="false"/>
          <w:color w:val="000000"/>
          <w:sz w:val="21"/>
        </w:rPr>
        <w:t xml:space="preserve"> (Notice ARC 8181C,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6.1.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7A.10-18A.pdf" Type="http://schemas.openxmlformats.org/officeDocument/2006/relationships/hyperlink" Id="rId12"/>
    <Relationship TargetMode="External" Target="https://www.legis.iowa.gov/docs/ico/chapter/17A.9A.pdf" Type="http://schemas.openxmlformats.org/officeDocument/2006/relationships/hyperlink" Id="rId13"/>
    <Relationship TargetMode="External" Target="https://www.legis.iowa.gov/docs/ico/chapter/17A.9A.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9A.pdf" Type="http://schemas.openxmlformats.org/officeDocument/2006/relationships/hyperlink" Id="rId16"/>
    <Relationship TargetMode="External" Target="https://www.legis.iowa.gov/docs/ico/chapter/16.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