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AGENCY PROCEDURE FOR RULEMAKING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265—17.1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authority incorporates by this reference all such matters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relate to procedures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8414C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265—17.2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Inquiries about authority rules and the rulemaking process may be directed to Director, Iowa Finance Authority, 1963 Bell Avenue, Suite 200,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relating to rules may be directed to Director, Iowa Finance Authority, 1963 Bell Avenue, Suite 200, Des Moines, Iowa 50315, or as directed in the Notice of Intended Action or similar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8414C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8414C</w:t>
      </w:r>
      <w:r>
        <w:rPr>
          <w:rFonts w:ascii="Times New Roman" w:hAnsi="Times New Roman"/>
          <w:b w:val="false"/>
          <w:i w:val="false"/>
          <w:color w:val="000000"/>
          <w:sz w:val="21"/>
        </w:rPr>
        <w:t xml:space="preserve"> (Notice ARC 8170C, IAB 8/7/24)</w:t>
      </w:r>
      <w:r>
        <w:rPr>
          <w:rFonts w:ascii="Times New Roman" w:hAnsi="Times New Roman"/>
          <w:b w:val="false"/>
          <w:i w:val="false"/>
          <w:color w:val="000000"/>
          <w:sz w:val="21"/>
        </w:rPr>
        <w:t>, IAB 11/27/24, effective 1/1/25]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