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Iowa finance authority hereby adopts, with the following exceptions and amendments,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265—13.1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i w:val="false"/>
          <w:color w:val="000000"/>
          <w:sz w:val="22"/>
        </w:rPr>
        <w:t>265—13.3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office where the record is kept. If the location of the record is not known by the requester, the request shall be directed to Iowa finance authority at the address set forth in rule 265—1.3(16). The Iowa finance authority will forward the request to the appropriate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265—13.4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The following procedures for access to confidential records are in addition to those specified for all records in </w:t>
      </w:r>
      <w:hyperlink r:id="rId5">
        <w:r>
          <w:rPr>
            <w:rStyle w:val="Hyperlink"/>
            <w:rFonts w:ascii="Times New Roman" w:hAnsi="Times New Roman"/>
            <w:b w:val="false"/>
            <w:i w:val="false"/>
            <w:color w:val="000000"/>
            <w:sz w:val="22"/>
          </w:rPr>
          <w:t>rule 265—13.3(17A,22)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265—13.6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the subject of a record shall have the right to have a written statement of additions, dissents, or objections entered into the record. The subject shall send the statement to the custodian of the record or to the Iowa finance authority. The statement must be dated and signed by the subject, and shall include the current address and telephone number of the subject or the subject’s representative.</w:t>
      </w:r>
    </w:p>
    <w:p>
      <w:pPr>
        <w:spacing w:before="0" w:after="0"/>
        <w:ind w:left="120"/>
        <w:jc w:val="both"/>
      </w:pPr>
      <w:r>
        <w:rPr>
          <w:rFonts w:ascii="Times New Roman" w:hAnsi="Times New Roman"/>
          <w:b/>
          <w:i w:val="false"/>
          <w:color w:val="000000"/>
          <w:sz w:val="22"/>
        </w:rPr>
        <w:t>265—13.9</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Authority records not routinely available for public inspection. The following records are confidential and not routinely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Materials that are specifically exempted from disclosure by statute and which the authority may in its discretion withhold from public inspection. Records the authority is authorized to withhold from public inspection under Iowa law in its discretion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that represent the work product of an attorney, which are related to litigation or claim made by or against a public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Reports made to the authority which, if released, would give advantage to competitors and serve no public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information in confidential personnel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identity of owners of public bonds or obligations maintained as provided in Iowa Code section </w:t>
      </w:r>
      <w:hyperlink r:id="rId6">
        <w:r>
          <w:rPr>
            <w:rStyle w:val="Hyperlink"/>
            <w:rFonts w:ascii="Times New Roman" w:hAnsi="Times New Roman"/>
            <w:b w:val="false"/>
            <w:i w:val="false"/>
            <w:color w:val="000000"/>
            <w:sz w:val="22"/>
          </w:rPr>
          <w:t>76.10</w:t>
        </w:r>
      </w:hyperlink>
      <w:r>
        <w:rPr>
          <w:rFonts w:ascii="Times New Roman" w:hAnsi="Times New Roman"/>
          <w:b w:val="false"/>
          <w:i w:val="false"/>
          <w:color w:val="000000"/>
          <w:sz w:val="22"/>
        </w:rPr>
        <w:t xml:space="preserve"> or by the issuer of the public bonds or obligations. However, the issuer of the public bonds or obligations and a state or federal agency shall have the right of access to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Communications that are made to a government body or to any of its employees by identified persons outside of government, to the extent that the government body receiving those communications from such persons outside of government could reasonably believe that those persons would be discouraged from making them to that government body if they were available for general public examination, included but not limited to, financial statements, security agreements, notes, mortgages, partnership agreements, articles of incorporation, tax returns, credit reports and underwriting decisions to the extent they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Materials that are specifically exempted from disclosure by statute and which the authority is prohibited from making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in the implementation of this program, must collect personally identifiable information under Iowa Code chapter </w:t>
      </w:r>
      <w:hyperlink r:id="rId7">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and federal statutes and regulations governing the issuance of debt instruments by the authority. Such personally identifiable information is confidential and includes, but is not limited to, financial statements, security agreements, notes, mortgages, partnership agreements, articles of incorporation, tax returns, credit reports, underwriting decisions as they relate to bond financings, tax credit programs, loans administered by the authority and other authority programs as authorized by law.</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8/19/88 after Notice 3/23/88—published 9/7/88, effective 8/19/88]</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65.13.3.pdf" Type="http://schemas.openxmlformats.org/officeDocument/2006/relationships/hyperlink" Id="rId5"/>
    <Relationship TargetMode="External" Target="https://www.legis.iowa.gov/docs/ico/chapter/76.10.pdf" Type="http://schemas.openxmlformats.org/officeDocument/2006/relationships/hyperlink" Id="rId6"/>
    <Relationship TargetMode="External" Target="https://www.legis.iowa.gov/docs/ico/chapter/16.pdf" Type="http://schemas.openxmlformats.org/officeDocument/2006/relationships/hyperlink" Id="rId7"/>
    <Relationship TargetMode="External" Target="https://www.legis.iowa.gov/docs/ico/chapter/22.1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