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LOW-INCOME HOUSING TAX CREDITS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265—12.1</w:t>
      </w:r>
      <w:r>
        <w:rPr>
          <w:rFonts w:ascii="Times New Roman" w:hAnsi="Times New Roman"/>
          <w:b/>
          <w:i w:val="false"/>
          <w:color w:val="000000"/>
          <w:sz w:val="22"/>
        </w:rPr>
        <w:t xml:space="preserve">(16) </w:t>
      </w:r>
      <w:r>
        <w:rPr>
          <w:rFonts w:ascii="Times New Roman" w:hAnsi="Times New Roman"/>
          <w:b/>
          <w:i w:val="false"/>
          <w:color w:val="000000"/>
          <w:sz w:val="22"/>
        </w:rPr>
        <w:t xml:space="preserve">Qualified allocation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Four percent qualified allocation plan. </w:t>
      </w:r>
      <w:r>
        <w:rPr>
          <w:rFonts w:ascii="Times New Roman" w:hAnsi="Times New Roman"/>
          <w:b w:val="false"/>
          <w:i w:val="false"/>
          <w:color w:val="000000"/>
          <w:sz w:val="22"/>
        </w:rPr>
        <w:t xml:space="preserve">The qualified allocation plan titled Iowa Finance Authority Low-Income Housing Tax Credit Program 2024 4% Qualified Allocation Plan (“4% QAP”) dated August 2, 2023, shall be the qualified allocation plan for the allocation of 4 percent low-income housing tax credits consistent with IRC Section 42 and the applicable Treasury regulations and Iowa Code section </w:t>
      </w:r>
      <w:hyperlink r:id="rId5">
        <w:r>
          <w:rPr>
            <w:rStyle w:val="Hyperlink"/>
            <w:rFonts w:ascii="Times New Roman" w:hAnsi="Times New Roman"/>
            <w:b w:val="false"/>
            <w:i w:val="false"/>
            <w:color w:val="000000"/>
            <w:sz w:val="22"/>
          </w:rPr>
          <w:t>16.35</w:t>
        </w:r>
      </w:hyperlink>
      <w:r>
        <w:rPr>
          <w:rFonts w:ascii="Times New Roman" w:hAnsi="Times New Roman"/>
          <w:b w:val="false"/>
          <w:i w:val="false"/>
          <w:color w:val="000000"/>
          <w:sz w:val="22"/>
        </w:rPr>
        <w:t xml:space="preserve">. The 4% QAP is incorporated by reference pursuant to Iowa Code section </w:t>
      </w:r>
      <w:hyperlink r:id="rId6">
        <w:r>
          <w:rPr>
            <w:rStyle w:val="Hyperlink"/>
            <w:rFonts w:ascii="Times New Roman" w:hAnsi="Times New Roman"/>
            <w:b w:val="false"/>
            <w:i w:val="false"/>
            <w:color w:val="000000"/>
            <w:sz w:val="22"/>
          </w:rPr>
          <w:t>17A.6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265—subrules 17.4(2)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17.12(2)</w:t>
        </w:r>
      </w:hyperlink>
      <w:r>
        <w:rPr>
          <w:rFonts w:ascii="Times New Roman" w:hAnsi="Times New Roman"/>
          <w:b w:val="false"/>
          <w:i w:val="false"/>
          <w:color w:val="000000"/>
          <w:sz w:val="22"/>
        </w:rPr>
        <w:t>. The 4% QAP does not include any amendments or editions created subsequent to August 2,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Nine percent qualified allocation plan. </w:t>
      </w:r>
      <w:r>
        <w:rPr>
          <w:rFonts w:ascii="Times New Roman" w:hAnsi="Times New Roman"/>
          <w:b w:val="false"/>
          <w:i w:val="false"/>
          <w:color w:val="000000"/>
          <w:sz w:val="22"/>
        </w:rPr>
        <w:t xml:space="preserve">The qualified allocation plan titled Iowa Finance Authority Low-Income Housing Tax Credit Program 2024 9% Qualified Allocation Plan (“9% QAP”) shall be the qualified allocation plan for the allocation of 9 percent low-income housing tax credits consistent with IRC Section 42 and the applicable Treasury regulations and Iowa Code section </w:t>
      </w:r>
      <w:hyperlink r:id="rId9">
        <w:r>
          <w:rPr>
            <w:rStyle w:val="Hyperlink"/>
            <w:rFonts w:ascii="Times New Roman" w:hAnsi="Times New Roman"/>
            <w:b w:val="false"/>
            <w:i w:val="false"/>
            <w:color w:val="000000"/>
            <w:sz w:val="22"/>
          </w:rPr>
          <w:t>16.35</w:t>
        </w:r>
      </w:hyperlink>
      <w:r>
        <w:rPr>
          <w:rFonts w:ascii="Times New Roman" w:hAnsi="Times New Roman"/>
          <w:b w:val="false"/>
          <w:i w:val="false"/>
          <w:color w:val="000000"/>
          <w:sz w:val="22"/>
        </w:rPr>
        <w:t xml:space="preserve">. The 9% QAP is incorporated by reference pursuant to Iowa Code section </w:t>
      </w:r>
      <w:hyperlink r:id="rId10">
        <w:r>
          <w:rPr>
            <w:rStyle w:val="Hyperlink"/>
            <w:rFonts w:ascii="Times New Roman" w:hAnsi="Times New Roman"/>
            <w:b w:val="false"/>
            <w:i w:val="false"/>
            <w:color w:val="000000"/>
            <w:sz w:val="22"/>
          </w:rPr>
          <w:t>17A.6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265—subrules 17.4(2)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17.12(2)</w:t>
        </w:r>
      </w:hyperlink>
      <w:r>
        <w:rPr>
          <w:rFonts w:ascii="Times New Roman" w:hAnsi="Times New Roman"/>
          <w:b w:val="false"/>
          <w:i w:val="false"/>
          <w:color w:val="000000"/>
          <w:sz w:val="22"/>
        </w:rPr>
        <w:t xml:space="preserve">. The 9% QAP does not include any amendments or editions created subsequent to August 2, 2023.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8266B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8947B</w:t>
      </w:r>
      <w:r>
        <w:rPr>
          <w:rFonts w:ascii="Times New Roman" w:hAnsi="Times New Roman"/>
          <w:b w:val="false"/>
          <w:i w:val="false"/>
          <w:color w:val="000000"/>
          <w:sz w:val="16"/>
        </w:rPr>
        <w:t>, IAB 7/28/10, effective 7/6/10</w:t>
      </w:r>
      <w:r>
        <w:rPr>
          <w:rFonts w:ascii="Times New Roman" w:hAnsi="Times New Roman"/>
          <w:b w:val="false"/>
          <w:i w:val="false"/>
          <w:color w:val="000000"/>
          <w:sz w:val="16"/>
        </w:rPr>
        <w:t xml:space="preserve">; </w:t>
      </w:r>
      <w:r>
        <w:rPr>
          <w:rFonts w:ascii="Times New Roman" w:hAnsi="Times New Roman"/>
          <w:b/>
          <w:i w:val="false"/>
          <w:color w:val="000000"/>
          <w:sz w:val="16"/>
        </w:rPr>
        <w:t>ARC 9279B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9950B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0427C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 xml:space="preserve">; </w:t>
      </w:r>
      <w:r>
        <w:rPr>
          <w:rFonts w:ascii="Times New Roman" w:hAnsi="Times New Roman"/>
          <w:b/>
          <w:i w:val="false"/>
          <w:color w:val="000000"/>
          <w:sz w:val="16"/>
        </w:rPr>
        <w:t>ARC 1139C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1700C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2225C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2723C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3338C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4037C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4794C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5717C</w:t>
      </w:r>
      <w:r>
        <w:rPr>
          <w:rFonts w:ascii="Times New Roman" w:hAnsi="Times New Roman"/>
          <w:b w:val="false"/>
          <w:i w:val="false"/>
          <w:color w:val="000000"/>
          <w:sz w:val="16"/>
        </w:rPr>
        <w:t>, IAB 6/16/21, effective 5/28/21</w:t>
      </w:r>
      <w:r>
        <w:rPr>
          <w:rFonts w:ascii="Times New Roman" w:hAnsi="Times New Roman"/>
          <w:b w:val="false"/>
          <w:i w:val="false"/>
          <w:color w:val="000000"/>
          <w:sz w:val="16"/>
        </w:rPr>
        <w:t xml:space="preserve">; </w:t>
      </w:r>
      <w:r>
        <w:rPr>
          <w:rFonts w:ascii="Times New Roman" w:hAnsi="Times New Roman"/>
          <w:b/>
          <w:i w:val="false"/>
          <w:color w:val="000000"/>
          <w:sz w:val="16"/>
        </w:rPr>
        <w:t>ARC 6721C</w:t>
      </w:r>
      <w:r>
        <w:rPr>
          <w:rFonts w:ascii="Times New Roman" w:hAnsi="Times New Roman"/>
          <w:b w:val="false"/>
          <w:i w:val="false"/>
          <w:color w:val="000000"/>
          <w:sz w:val="16"/>
        </w:rPr>
        <w:t>, IAB 12/14/22, effective 11/10/22</w:t>
      </w:r>
      <w:r>
        <w:rPr>
          <w:rFonts w:ascii="Times New Roman" w:hAnsi="Times New Roman"/>
          <w:b w:val="false"/>
          <w:i w:val="false"/>
          <w:color w:val="000000"/>
          <w:sz w:val="16"/>
        </w:rPr>
        <w:t xml:space="preserve">; </w:t>
      </w:r>
      <w:r>
        <w:rPr>
          <w:rFonts w:ascii="Times New Roman" w:hAnsi="Times New Roman"/>
          <w:b/>
          <w:i w:val="false"/>
          <w:color w:val="000000"/>
          <w:sz w:val="16"/>
        </w:rPr>
        <w:t>ARC 6899C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7060C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265—12.2</w:t>
      </w:r>
      <w:r>
        <w:rPr>
          <w:rFonts w:ascii="Times New Roman" w:hAnsi="Times New Roman"/>
          <w:b/>
          <w:i w:val="false"/>
          <w:color w:val="000000"/>
          <w:sz w:val="22"/>
        </w:rPr>
        <w:t xml:space="preserve">(16) </w:t>
      </w:r>
      <w:r>
        <w:rPr>
          <w:rFonts w:ascii="Times New Roman" w:hAnsi="Times New Roman"/>
          <w:b/>
          <w:i w:val="false"/>
          <w:color w:val="000000"/>
          <w:sz w:val="22"/>
        </w:rPr>
        <w:t xml:space="preserve">Location of copies of the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4% QAP. </w:t>
      </w:r>
      <w:r>
        <w:rPr>
          <w:rFonts w:ascii="Times New Roman" w:hAnsi="Times New Roman"/>
          <w:b w:val="false"/>
          <w:i w:val="false"/>
          <w:color w:val="000000"/>
          <w:sz w:val="22"/>
        </w:rPr>
        <w:t xml:space="preserve">The 4% QAP can be reviewed and copied in its entirety on the authority’s website at </w:t>
      </w:r>
      <w:hyperlink r:id="rId13">
        <w:r>
          <w:rPr>
            <w:rStyle w:val="Hyperlink"/>
            <w:rFonts w:ascii="Times New Roman" w:hAnsi="Times New Roman"/>
            <w:b w:val="false"/>
            <w:i w:val="false"/>
            <w:color w:val="000000"/>
            <w:sz w:val="22"/>
            <w:u w:val="single"/>
          </w:rPr>
          <w:t>www.iowafinance.com</w:t>
        </w:r>
      </w:hyperlink>
      <w:r>
        <w:rPr>
          <w:rFonts w:ascii="Times New Roman" w:hAnsi="Times New Roman"/>
          <w:b w:val="false"/>
          <w:i w:val="false"/>
          <w:color w:val="000000"/>
          <w:sz w:val="22"/>
        </w:rPr>
        <w:t xml:space="preserve">. Copies of the 4% QAP, application, and all related attachments and exhibits shall be deposited with the administrative rules coordinator and at the state law library and shall be available on the authority’s website. The 4% QAP incorporates by reference IRC Section 42 and the regulations in effect as of August 2, 2023. Additionally, the 4% QAP incorporates by reference Iowa Code section </w:t>
      </w:r>
      <w:hyperlink r:id="rId14">
        <w:r>
          <w:rPr>
            <w:rStyle w:val="Hyperlink"/>
            <w:rFonts w:ascii="Times New Roman" w:hAnsi="Times New Roman"/>
            <w:b w:val="false"/>
            <w:i w:val="false"/>
            <w:color w:val="000000"/>
            <w:sz w:val="22"/>
          </w:rPr>
          <w:t>16.35</w:t>
        </w:r>
      </w:hyperlink>
      <w:r>
        <w:rPr>
          <w:rFonts w:ascii="Times New Roman" w:hAnsi="Times New Roman"/>
          <w:b w:val="false"/>
          <w:i w:val="false"/>
          <w:color w:val="000000"/>
          <w:sz w:val="22"/>
        </w:rPr>
        <w:t>. These documents are available from the state law library, and information about these statutes, regulations and rules is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9% QAP. </w:t>
      </w:r>
      <w:r>
        <w:rPr>
          <w:rFonts w:ascii="Times New Roman" w:hAnsi="Times New Roman"/>
          <w:b w:val="false"/>
          <w:i w:val="false"/>
          <w:color w:val="000000"/>
          <w:sz w:val="22"/>
        </w:rPr>
        <w:t xml:space="preserve">The 9% QAP can be reviewed and copied in its entirety on the authority’s website at </w:t>
      </w:r>
      <w:hyperlink r:id="rId15">
        <w:r>
          <w:rPr>
            <w:rStyle w:val="Hyperlink"/>
            <w:rFonts w:ascii="Times New Roman" w:hAnsi="Times New Roman"/>
            <w:b w:val="false"/>
            <w:i w:val="false"/>
            <w:color w:val="000000"/>
            <w:sz w:val="22"/>
            <w:u w:val="single"/>
          </w:rPr>
          <w:t>www.iowafinance.com</w:t>
        </w:r>
      </w:hyperlink>
      <w:r>
        <w:rPr>
          <w:rFonts w:ascii="Times New Roman" w:hAnsi="Times New Roman"/>
          <w:b w:val="false"/>
          <w:i w:val="false"/>
          <w:color w:val="000000"/>
          <w:sz w:val="22"/>
        </w:rPr>
        <w:t xml:space="preserve">. Copies of the 9% QAP, the application, and all related attachments and exhibits shall be deposited with the administrative rules coordinator and at the state law library and shall be available on the authority’s website. The 9% QAP incorporates by reference IRC Section 42 and the regulations in effect as of August 2, 2023. Additionally, the 9% QAP incorporates by reference Iowa Code section </w:t>
      </w:r>
      <w:hyperlink r:id="rId16">
        <w:r>
          <w:rPr>
            <w:rStyle w:val="Hyperlink"/>
            <w:rFonts w:ascii="Times New Roman" w:hAnsi="Times New Roman"/>
            <w:b w:val="false"/>
            <w:i w:val="false"/>
            <w:color w:val="000000"/>
            <w:sz w:val="22"/>
          </w:rPr>
          <w:t>16.35</w:t>
        </w:r>
      </w:hyperlink>
      <w:r>
        <w:rPr>
          <w:rFonts w:ascii="Times New Roman" w:hAnsi="Times New Roman"/>
          <w:b w:val="false"/>
          <w:i w:val="false"/>
          <w:color w:val="000000"/>
          <w:sz w:val="22"/>
        </w:rPr>
        <w:t>. These documents are available from the state law library, and information about these statutes, regulations and rules is on the authority’s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8266B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8947B</w:t>
      </w:r>
      <w:r>
        <w:rPr>
          <w:rFonts w:ascii="Times New Roman" w:hAnsi="Times New Roman"/>
          <w:b w:val="false"/>
          <w:i w:val="false"/>
          <w:color w:val="000000"/>
          <w:sz w:val="16"/>
        </w:rPr>
        <w:t>, IAB 7/28/10, effective 7/6/10</w:t>
      </w:r>
      <w:r>
        <w:rPr>
          <w:rFonts w:ascii="Times New Roman" w:hAnsi="Times New Roman"/>
          <w:b w:val="false"/>
          <w:i w:val="false"/>
          <w:color w:val="000000"/>
          <w:sz w:val="16"/>
        </w:rPr>
        <w:t xml:space="preserve">; </w:t>
      </w:r>
      <w:r>
        <w:rPr>
          <w:rFonts w:ascii="Times New Roman" w:hAnsi="Times New Roman"/>
          <w:b/>
          <w:i w:val="false"/>
          <w:color w:val="000000"/>
          <w:sz w:val="16"/>
        </w:rPr>
        <w:t>ARC 9279B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9950B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0427C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 xml:space="preserve">; </w:t>
      </w:r>
      <w:r>
        <w:rPr>
          <w:rFonts w:ascii="Times New Roman" w:hAnsi="Times New Roman"/>
          <w:b/>
          <w:i w:val="false"/>
          <w:color w:val="000000"/>
          <w:sz w:val="16"/>
        </w:rPr>
        <w:t>ARC 1139C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1700C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2225C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2723C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3338C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4037C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4794C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5717C</w:t>
      </w:r>
      <w:r>
        <w:rPr>
          <w:rFonts w:ascii="Times New Roman" w:hAnsi="Times New Roman"/>
          <w:b w:val="false"/>
          <w:i w:val="false"/>
          <w:color w:val="000000"/>
          <w:sz w:val="16"/>
        </w:rPr>
        <w:t>, IAB 6/16/21, effective 5/28/21</w:t>
      </w:r>
      <w:r>
        <w:rPr>
          <w:rFonts w:ascii="Times New Roman" w:hAnsi="Times New Roman"/>
          <w:b w:val="false"/>
          <w:i w:val="false"/>
          <w:color w:val="000000"/>
          <w:sz w:val="16"/>
        </w:rPr>
        <w:t xml:space="preserve">; </w:t>
      </w:r>
      <w:r>
        <w:rPr>
          <w:rFonts w:ascii="Times New Roman" w:hAnsi="Times New Roman"/>
          <w:b/>
          <w:i w:val="false"/>
          <w:color w:val="000000"/>
          <w:sz w:val="16"/>
        </w:rPr>
        <w:t>ARC 6721C</w:t>
      </w:r>
      <w:r>
        <w:rPr>
          <w:rFonts w:ascii="Times New Roman" w:hAnsi="Times New Roman"/>
          <w:b w:val="false"/>
          <w:i w:val="false"/>
          <w:color w:val="000000"/>
          <w:sz w:val="16"/>
        </w:rPr>
        <w:t>, IAB 12/14/22, effective 11/10/22</w:t>
      </w:r>
      <w:r>
        <w:rPr>
          <w:rFonts w:ascii="Times New Roman" w:hAnsi="Times New Roman"/>
          <w:b w:val="false"/>
          <w:i w:val="false"/>
          <w:color w:val="000000"/>
          <w:sz w:val="16"/>
        </w:rPr>
        <w:t xml:space="preserve">; </w:t>
      </w:r>
      <w:r>
        <w:rPr>
          <w:rFonts w:ascii="Times New Roman" w:hAnsi="Times New Roman"/>
          <w:b/>
          <w:i w:val="false"/>
          <w:color w:val="000000"/>
          <w:sz w:val="16"/>
        </w:rPr>
        <w:t>ARC 6899C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7060C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265—12.3</w:t>
      </w:r>
      <w:r>
        <w:rPr>
          <w:rFonts w:ascii="Times New Roman" w:hAnsi="Times New Roman"/>
          <w:b/>
          <w:i w:val="false"/>
          <w:color w:val="000000"/>
          <w:sz w:val="22"/>
        </w:rPr>
        <w:t xml:space="preserve">(16) </w:t>
      </w:r>
      <w:r>
        <w:rPr>
          <w:rFonts w:ascii="Times New Roman" w:hAnsi="Times New Roman"/>
          <w:b/>
          <w:i w:val="false"/>
          <w:color w:val="000000"/>
          <w:sz w:val="22"/>
        </w:rPr>
        <w:t xml:space="preserve">Compliance manual. </w:t>
      </w:r>
      <w:r>
        <w:rPr>
          <w:rFonts w:ascii="Times New Roman" w:hAnsi="Times New Roman"/>
          <w:b w:val="false"/>
          <w:i w:val="false"/>
          <w:color w:val="000000"/>
          <w:sz w:val="22"/>
        </w:rPr>
        <w:t xml:space="preserve">Rescinded </w:t>
      </w:r>
      <w:r>
        <w:rPr>
          <w:rFonts w:ascii="Times New Roman" w:hAnsi="Times New Roman"/>
          <w:b/>
          <w:i w:val="false"/>
          <w:color w:val="000000"/>
          <w:sz w:val="22"/>
        </w:rPr>
        <w:t>ARC 1700C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10/29/14</w:t>
      </w:r>
      <w:r>
        <w:rPr>
          <w:rFonts w:ascii="Times New Roman" w:hAnsi="Times New Roman"/>
          <w:b w:val="false"/>
          <w:i w:val="false"/>
          <w:color w:val="000000"/>
          <w:sz w:val="22"/>
        </w:rPr>
        <w:t>, effective 12/3/14.</w:t>
      </w:r>
    </w:p>
    <w:p>
      <w:pPr>
        <w:spacing w:before="210" w:after="0"/>
        <w:ind w:left="120"/>
        <w:jc w:val="both"/>
      </w:pPr>
      <w:r>
        <w:rPr>
          <w:rFonts w:ascii="Times New Roman" w:hAnsi="Times New Roman"/>
          <w:b/>
          <w:i w:val="false"/>
          <w:color w:val="000000"/>
          <w:sz w:val="22"/>
        </w:rPr>
        <w:t>265—12.4</w:t>
      </w:r>
      <w:r>
        <w:rPr>
          <w:rFonts w:ascii="Times New Roman" w:hAnsi="Times New Roman"/>
          <w:b/>
          <w:i w:val="false"/>
          <w:color w:val="000000"/>
          <w:sz w:val="22"/>
        </w:rPr>
        <w:t xml:space="preserve">(16) </w:t>
      </w:r>
      <w:r>
        <w:rPr>
          <w:rFonts w:ascii="Times New Roman" w:hAnsi="Times New Roman"/>
          <w:b/>
          <w:i w:val="false"/>
          <w:color w:val="000000"/>
          <w:sz w:val="22"/>
        </w:rPr>
        <w:t xml:space="preserve">Location of copies of the manual. </w:t>
      </w:r>
      <w:r>
        <w:rPr>
          <w:rFonts w:ascii="Times New Roman" w:hAnsi="Times New Roman"/>
          <w:b w:val="false"/>
          <w:i w:val="false"/>
          <w:color w:val="000000"/>
          <w:sz w:val="22"/>
        </w:rPr>
        <w:t xml:space="preserve">Rescinded </w:t>
      </w:r>
      <w:r>
        <w:rPr>
          <w:rFonts w:ascii="Times New Roman" w:hAnsi="Times New Roman"/>
          <w:b/>
          <w:i w:val="false"/>
          <w:color w:val="000000"/>
          <w:sz w:val="22"/>
        </w:rPr>
        <w:t>ARC 1700C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10/29/14</w:t>
      </w:r>
      <w:r>
        <w:rPr>
          <w:rFonts w:ascii="Times New Roman" w:hAnsi="Times New Roman"/>
          <w:b w:val="false"/>
          <w:i w:val="false"/>
          <w:color w:val="000000"/>
          <w:sz w:val="22"/>
        </w:rPr>
        <w:t>, effective 12/3/14.</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16.35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6/23/88, Notice 12/30/87—published 7/13/88, effective 8/17/88]</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emergency 10/6/99 after Notice 8/11/99—published 11/3/99, effective 10/6/99]</w:t>
      </w:r>
    </w:p>
    <w:p>
      <w:pPr>
        <w:spacing w:before="0" w:after="0"/>
        <w:ind w:left="120"/>
        <w:jc w:val="center"/>
      </w:pPr>
      <w:r>
        <w:rPr>
          <w:rFonts w:ascii="Times New Roman" w:hAnsi="Times New Roman"/>
          <w:b w:val="false"/>
          <w:i w:val="false"/>
          <w:color w:val="000000"/>
          <w:sz w:val="21"/>
        </w:rPr>
        <w:t>[Filed emergency 7/14/00 after Notice 5/3/00—published 8/9/00, effective 7/14/00]</w:t>
      </w:r>
    </w:p>
    <w:p>
      <w:pPr>
        <w:spacing w:before="0" w:after="0"/>
        <w:ind w:left="120"/>
        <w:jc w:val="center"/>
      </w:pPr>
      <w:r>
        <w:rPr>
          <w:rFonts w:ascii="Times New Roman" w:hAnsi="Times New Roman"/>
          <w:b w:val="false"/>
          <w:i w:val="false"/>
          <w:color w:val="000000"/>
          <w:sz w:val="21"/>
        </w:rPr>
        <w:t>[Filed 10/12/00, Notice 8/23/00—published 11/1/00, effective 12/6/00]</w:t>
      </w:r>
    </w:p>
    <w:p>
      <w:pPr>
        <w:spacing w:before="0" w:after="0"/>
        <w:ind w:left="120"/>
        <w:jc w:val="center"/>
      </w:pPr>
      <w:r>
        <w:rPr>
          <w:rFonts w:ascii="Times New Roman" w:hAnsi="Times New Roman"/>
          <w:b w:val="false"/>
          <w:i w:val="false"/>
          <w:color w:val="000000"/>
          <w:sz w:val="21"/>
        </w:rPr>
        <w:t>[Filed 10/12/01, Notice 6/27/01—published 10/31/01, effective 12/5/01]</w:t>
      </w:r>
    </w:p>
    <w:p>
      <w:pPr>
        <w:spacing w:before="0" w:after="0"/>
        <w:ind w:left="120"/>
        <w:jc w:val="center"/>
      </w:pPr>
      <w:r>
        <w:rPr>
          <w:rFonts w:ascii="Times New Roman" w:hAnsi="Times New Roman"/>
          <w:b w:val="false"/>
          <w:i w:val="false"/>
          <w:color w:val="000000"/>
          <w:sz w:val="21"/>
        </w:rPr>
        <w:t>[Filed 8/15/02, Notice 6/26/02—published 9/4/02, effective 10/9/02]</w:t>
      </w:r>
    </w:p>
    <w:p>
      <w:pPr>
        <w:spacing w:before="0" w:after="0"/>
        <w:ind w:left="120"/>
        <w:jc w:val="center"/>
      </w:pPr>
      <w:r>
        <w:rPr>
          <w:rFonts w:ascii="Times New Roman" w:hAnsi="Times New Roman"/>
          <w:b w:val="false"/>
          <w:i w:val="false"/>
          <w:color w:val="000000"/>
          <w:sz w:val="21"/>
        </w:rPr>
        <w:t>[Filed 8/13/03, Notice 6/25/03—published 9/3/03, effective 10/8/03]</w:t>
      </w:r>
    </w:p>
    <w:p>
      <w:pPr>
        <w:spacing w:before="0" w:after="0"/>
        <w:ind w:left="120"/>
        <w:jc w:val="center"/>
      </w:pPr>
      <w:r>
        <w:rPr>
          <w:rFonts w:ascii="Times New Roman" w:hAnsi="Times New Roman"/>
          <w:b w:val="false"/>
          <w:i w:val="false"/>
          <w:color w:val="000000"/>
          <w:sz w:val="21"/>
        </w:rPr>
        <w:t>[Filed 9/9/04, Notice 8/4/04—published 9/29/04, effective 11/3/04]</w:t>
      </w:r>
    </w:p>
    <w:p>
      <w:pPr>
        <w:spacing w:before="0" w:after="0"/>
        <w:ind w:left="120"/>
        <w:jc w:val="center"/>
      </w:pPr>
      <w:r>
        <w:rPr>
          <w:rFonts w:ascii="Times New Roman" w:hAnsi="Times New Roman"/>
          <w:b w:val="false"/>
          <w:i w:val="false"/>
          <w:color w:val="000000"/>
          <w:sz w:val="21"/>
        </w:rPr>
        <w:t>[Filed 8/12/05, Notice 6/22/05—published 8/31/05, effective 10/5/05]</w:t>
      </w:r>
    </w:p>
    <w:p>
      <w:pPr>
        <w:spacing w:before="0" w:after="0"/>
        <w:ind w:left="120"/>
        <w:jc w:val="center"/>
      </w:pPr>
      <w:r>
        <w:rPr>
          <w:rFonts w:ascii="Times New Roman" w:hAnsi="Times New Roman"/>
          <w:b w:val="false"/>
          <w:i w:val="false"/>
          <w:color w:val="000000"/>
          <w:sz w:val="21"/>
        </w:rPr>
        <w:t>[Filed 8/23/06, Notice 7/5/06—published 9/13/06, effective 10/18/06]</w:t>
      </w:r>
    </w:p>
    <w:p>
      <w:pPr>
        <w:spacing w:before="0" w:after="0"/>
        <w:ind w:left="120"/>
        <w:jc w:val="center"/>
      </w:pPr>
      <w:r>
        <w:rPr>
          <w:rFonts w:ascii="Times New Roman" w:hAnsi="Times New Roman"/>
          <w:b w:val="false"/>
          <w:i w:val="false"/>
          <w:color w:val="000000"/>
          <w:sz w:val="21"/>
        </w:rPr>
        <w:t>[Filed 8/9/07, Notice 7/4/07—published 8/29/07, effective 10/3/07]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7700B, IAB 4/8/09, effective 3/19/09]</w:t>
      </w:r>
    </w:p>
    <w:p>
      <w:pPr>
        <w:spacing w:before="0" w:after="0"/>
        <w:ind w:left="120"/>
        <w:jc w:val="center"/>
      </w:pPr>
      <w:r>
        <w:rPr>
          <w:rFonts w:ascii="Times New Roman" w:hAnsi="Times New Roman"/>
          <w:b w:val="false"/>
          <w:i w:val="false"/>
          <w:color w:val="000000"/>
          <w:sz w:val="21"/>
        </w:rPr>
        <w:t>[Filed ARC 7891B</w:t>
      </w:r>
      <w:r>
        <w:rPr>
          <w:rFonts w:ascii="Times New Roman" w:hAnsi="Times New Roman"/>
          <w:b w:val="false"/>
          <w:i w:val="false"/>
          <w:color w:val="000000"/>
          <w:sz w:val="21"/>
        </w:rPr>
        <w:t xml:space="preserve"> (Notice ARC 7701B,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8266B</w:t>
      </w:r>
      <w:r>
        <w:rPr>
          <w:rFonts w:ascii="Times New Roman" w:hAnsi="Times New Roman"/>
          <w:b w:val="false"/>
          <w:i w:val="false"/>
          <w:color w:val="000000"/>
          <w:sz w:val="21"/>
        </w:rPr>
        <w:t xml:space="preserve"> (Notice ARC 8071B, IAB 8/26/09)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8723B</w:t>
      </w:r>
      <w:r>
        <w:rPr>
          <w:rFonts w:ascii="Times New Roman" w:hAnsi="Times New Roman"/>
          <w:b w:val="false"/>
          <w:i w:val="false"/>
          <w:color w:val="000000"/>
          <w:sz w:val="21"/>
        </w:rPr>
        <w:t xml:space="preserve"> (Notice ARC 8508B, IAB 2/10/10)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Emergency ARC 8947B, IAB 7/28/10, effective 7/6/10]</w:t>
      </w:r>
    </w:p>
    <w:p>
      <w:pPr>
        <w:spacing w:before="0" w:after="0"/>
        <w:ind w:left="120"/>
        <w:jc w:val="center"/>
      </w:pPr>
      <w:r>
        <w:rPr>
          <w:rFonts w:ascii="Times New Roman" w:hAnsi="Times New Roman"/>
          <w:b w:val="false"/>
          <w:i w:val="false"/>
          <w:color w:val="000000"/>
          <w:sz w:val="21"/>
        </w:rPr>
        <w:t>[Filed ARC 9279B</w:t>
      </w:r>
      <w:r>
        <w:rPr>
          <w:rFonts w:ascii="Times New Roman" w:hAnsi="Times New Roman"/>
          <w:b w:val="false"/>
          <w:i w:val="false"/>
          <w:color w:val="000000"/>
          <w:sz w:val="21"/>
        </w:rPr>
        <w:t xml:space="preserve"> (Notice ARC 9160B, IAB 10/20/10)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9950B</w:t>
      </w:r>
      <w:r>
        <w:rPr>
          <w:rFonts w:ascii="Times New Roman" w:hAnsi="Times New Roman"/>
          <w:b w:val="false"/>
          <w:i w:val="false"/>
          <w:color w:val="000000"/>
          <w:sz w:val="21"/>
        </w:rPr>
        <w:t xml:space="preserve"> (Notice ARC 9837B,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0427C</w:t>
      </w:r>
      <w:r>
        <w:rPr>
          <w:rFonts w:ascii="Times New Roman" w:hAnsi="Times New Roman"/>
          <w:b w:val="false"/>
          <w:i w:val="false"/>
          <w:color w:val="000000"/>
          <w:sz w:val="21"/>
        </w:rPr>
        <w:t xml:space="preserve"> (Notice ARC 0284C, IAB 8/22/12)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1139C</w:t>
      </w:r>
      <w:r>
        <w:rPr>
          <w:rFonts w:ascii="Times New Roman" w:hAnsi="Times New Roman"/>
          <w:b w:val="false"/>
          <w:i w:val="false"/>
          <w:color w:val="000000"/>
          <w:sz w:val="21"/>
        </w:rPr>
        <w:t xml:space="preserve"> (Notice ARC 0929C, IAB 8/7/13)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1700C</w:t>
      </w:r>
      <w:r>
        <w:rPr>
          <w:rFonts w:ascii="Times New Roman" w:hAnsi="Times New Roman"/>
          <w:b w:val="false"/>
          <w:i w:val="false"/>
          <w:color w:val="000000"/>
          <w:sz w:val="21"/>
        </w:rPr>
        <w:t xml:space="preserve"> (Notice ARC 1585C, IAB 8/20/14)</w:t>
      </w:r>
      <w:r>
        <w:rPr>
          <w:rFonts w:ascii="Times New Roman" w:hAnsi="Times New Roman"/>
          <w:b w:val="false"/>
          <w:i w:val="false"/>
          <w:color w:val="000000"/>
          <w:sz w:val="21"/>
        </w:rPr>
        <w:t>, IAB 10/29/14, effective 12/3/14]</w:t>
      </w:r>
    </w:p>
    <w:p>
      <w:pPr>
        <w:spacing w:before="0" w:after="0"/>
        <w:ind w:left="120"/>
        <w:jc w:val="center"/>
      </w:pPr>
      <w:r>
        <w:rPr>
          <w:rFonts w:ascii="Times New Roman" w:hAnsi="Times New Roman"/>
          <w:b w:val="false"/>
          <w:i w:val="false"/>
          <w:color w:val="000000"/>
          <w:sz w:val="21"/>
        </w:rPr>
        <w:t>[Filed ARC 2225C</w:t>
      </w:r>
      <w:r>
        <w:rPr>
          <w:rFonts w:ascii="Times New Roman" w:hAnsi="Times New Roman"/>
          <w:b w:val="false"/>
          <w:i w:val="false"/>
          <w:color w:val="000000"/>
          <w:sz w:val="21"/>
        </w:rPr>
        <w:t xml:space="preserve"> (Notice ARC 2077C, IAB 8/5/15)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2723C</w:t>
      </w:r>
      <w:r>
        <w:rPr>
          <w:rFonts w:ascii="Times New Roman" w:hAnsi="Times New Roman"/>
          <w:b w:val="false"/>
          <w:i w:val="false"/>
          <w:color w:val="000000"/>
          <w:sz w:val="21"/>
        </w:rPr>
        <w:t xml:space="preserve"> (Notice ARC 2659C, IAB 8/3/16)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3338C</w:t>
      </w:r>
      <w:r>
        <w:rPr>
          <w:rFonts w:ascii="Times New Roman" w:hAnsi="Times New Roman"/>
          <w:b w:val="false"/>
          <w:i w:val="false"/>
          <w:color w:val="000000"/>
          <w:sz w:val="21"/>
        </w:rPr>
        <w:t xml:space="preserve"> (Notice ARC 3225C, IAB 8/2/17)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4037C</w:t>
      </w:r>
      <w:r>
        <w:rPr>
          <w:rFonts w:ascii="Times New Roman" w:hAnsi="Times New Roman"/>
          <w:b w:val="false"/>
          <w:i w:val="false"/>
          <w:color w:val="000000"/>
          <w:sz w:val="21"/>
        </w:rPr>
        <w:t xml:space="preserve"> (Notice ARC 3917C,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4794C</w:t>
      </w:r>
      <w:r>
        <w:rPr>
          <w:rFonts w:ascii="Times New Roman" w:hAnsi="Times New Roman"/>
          <w:b w:val="false"/>
          <w:i w:val="false"/>
          <w:color w:val="000000"/>
          <w:sz w:val="21"/>
        </w:rPr>
        <w:t xml:space="preserve"> (Notice ARC 4665C, IAB 9/25/19)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Emergency After Notice ARC 5717C</w:t>
      </w:r>
      <w:r>
        <w:rPr>
          <w:rFonts w:ascii="Times New Roman" w:hAnsi="Times New Roman"/>
          <w:b w:val="false"/>
          <w:i w:val="false"/>
          <w:color w:val="000000"/>
          <w:sz w:val="21"/>
        </w:rPr>
        <w:t xml:space="preserve"> (Notice ARC 5468C, IAB 2/24/21)</w:t>
      </w:r>
      <w:r>
        <w:rPr>
          <w:rFonts w:ascii="Times New Roman" w:hAnsi="Times New Roman"/>
          <w:b w:val="false"/>
          <w:i w:val="false"/>
          <w:color w:val="000000"/>
          <w:sz w:val="21"/>
        </w:rPr>
        <w:t>, IAB 6/16/21, effective 5/28/21]</w:t>
      </w:r>
    </w:p>
    <w:p>
      <w:pPr>
        <w:spacing w:before="0" w:after="0"/>
        <w:ind w:left="120"/>
        <w:jc w:val="center"/>
      </w:pPr>
      <w:r>
        <w:rPr>
          <w:rFonts w:ascii="Times New Roman" w:hAnsi="Times New Roman"/>
          <w:b w:val="false"/>
          <w:i w:val="false"/>
          <w:color w:val="000000"/>
          <w:sz w:val="21"/>
        </w:rPr>
        <w:t>[Filed Emergency After Notice ARC 6721C</w:t>
      </w:r>
      <w:r>
        <w:rPr>
          <w:rFonts w:ascii="Times New Roman" w:hAnsi="Times New Roman"/>
          <w:b w:val="false"/>
          <w:i w:val="false"/>
          <w:color w:val="000000"/>
          <w:sz w:val="21"/>
        </w:rPr>
        <w:t xml:space="preserve"> (Notice ARC 6543C, IAB 9/21/22)</w:t>
      </w:r>
      <w:r>
        <w:rPr>
          <w:rFonts w:ascii="Times New Roman" w:hAnsi="Times New Roman"/>
          <w:b w:val="false"/>
          <w:i w:val="false"/>
          <w:color w:val="000000"/>
          <w:sz w:val="21"/>
        </w:rPr>
        <w:t>, IAB 12/14/22, effective 11/10/22]</w:t>
      </w:r>
    </w:p>
    <w:p>
      <w:pPr>
        <w:spacing w:before="0" w:after="0"/>
        <w:ind w:left="120"/>
        <w:jc w:val="center"/>
      </w:pPr>
      <w:r>
        <w:rPr>
          <w:rFonts w:ascii="Times New Roman" w:hAnsi="Times New Roman"/>
          <w:b w:val="false"/>
          <w:i w:val="false"/>
          <w:color w:val="000000"/>
          <w:sz w:val="21"/>
        </w:rPr>
        <w:t>[Filed ARC 6899C</w:t>
      </w:r>
      <w:r>
        <w:rPr>
          <w:rFonts w:ascii="Times New Roman" w:hAnsi="Times New Roman"/>
          <w:b w:val="false"/>
          <w:i w:val="false"/>
          <w:color w:val="000000"/>
          <w:sz w:val="21"/>
        </w:rPr>
        <w:t xml:space="preserve"> (Notice ARC 6618C,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7060C</w:t>
      </w:r>
      <w:r>
        <w:rPr>
          <w:rFonts w:ascii="Times New Roman" w:hAnsi="Times New Roman"/>
          <w:b w:val="false"/>
          <w:i w:val="false"/>
          <w:color w:val="000000"/>
          <w:sz w:val="21"/>
        </w:rPr>
        <w:t xml:space="preserve"> (Notice ARC 7043C, IAB 6/28/23)</w:t>
      </w:r>
      <w:r>
        <w:rPr>
          <w:rFonts w:ascii="Times New Roman" w:hAnsi="Times New Roman"/>
          <w:b w:val="false"/>
          <w:i w:val="false"/>
          <w:color w:val="000000"/>
          <w:sz w:val="21"/>
        </w:rPr>
        <w:t>, IAB 8/23/23, effective 9/27/23]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35.pdf" Type="http://schemas.openxmlformats.org/officeDocument/2006/relationships/hyperlink" Id="rId5"/>
    <Relationship TargetMode="External" Target="https://www.legis.iowa.gov/docs/ico/chapter/17A.6.pdf" Type="http://schemas.openxmlformats.org/officeDocument/2006/relationships/hyperlink" Id="rId6"/>
    <Relationship TargetMode="External" Target="https://www.legis.iowa.gov/docs/iac/rule/265.17.4.pdf" Type="http://schemas.openxmlformats.org/officeDocument/2006/relationships/hyperlink" Id="rId7"/>
    <Relationship TargetMode="External" Target="https://www.legis.iowa.gov/docs/iac/rule/265.17.12.pdf" Type="http://schemas.openxmlformats.org/officeDocument/2006/relationships/hyperlink" Id="rId8"/>
    <Relationship TargetMode="External" Target="https://www.legis.iowa.gov/docs/ico/chapter/16.35.pdf" Type="http://schemas.openxmlformats.org/officeDocument/2006/relationships/hyperlink" Id="rId9"/>
    <Relationship TargetMode="External" Target="https://www.legis.iowa.gov/docs/ico/chapter/17A.6.pdf" Type="http://schemas.openxmlformats.org/officeDocument/2006/relationships/hyperlink" Id="rId10"/>
    <Relationship TargetMode="External" Target="https://www.legis.iowa.gov/docs/iac/rule/265.17.4.pdf" Type="http://schemas.openxmlformats.org/officeDocument/2006/relationships/hyperlink" Id="rId11"/>
    <Relationship TargetMode="External" Target="https://www.legis.iowa.gov/docs/iac/rule/265.17.12.pdf" Type="http://schemas.openxmlformats.org/officeDocument/2006/relationships/hyperlink" Id="rId12"/>
    <Relationship TargetMode="External" Target="https://www.iowafinance.com/" Type="http://schemas.openxmlformats.org/officeDocument/2006/relationships/hyperlink" Id="rId13"/>
    <Relationship TargetMode="External" Target="https://www.legis.iowa.gov/docs/ico/chapter/16.35.pdf" Type="http://schemas.openxmlformats.org/officeDocument/2006/relationships/hyperlink" Id="rId14"/>
    <Relationship TargetMode="External" Target="http://www.iowafinance.com" Type="http://schemas.openxmlformats.org/officeDocument/2006/relationships/hyperlink" Id="rId15"/>
    <Relationship TargetMode="External" Target="https://www.legis.iowa.gov/docs/ico/chapter/16.35.pdf" Type="http://schemas.openxmlformats.org/officeDocument/2006/relationships/hyperlink" Id="rId16"/>
    <Relationship TargetMode="External" Target="https://www.legis.iowa.gov/docs/ico/chapter/16.35.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