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w:t>
      </w:r>
    </w:p>
    <w:p>
      <w:pPr>
        <w:spacing w:before="0" w:after="0"/>
        <w:ind w:left="120"/>
        <w:jc w:val="center"/>
      </w:pPr>
      <w:r>
        <w:rPr>
          <w:rFonts w:ascii="Times New Roman" w:hAnsi="Times New Roman"/>
          <w:b w:val="false"/>
          <w:i w:val="false"/>
          <w:color w:val="000000"/>
          <w:sz w:val="21"/>
        </w:rPr>
        <w:t>REGIONAL SPORTS AUTHORITY DISTRICTS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261—38.1</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“Actively promote”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“active promotion” </w:t>
      </w:r>
      <w:r>
        <w:rPr>
          <w:rFonts w:ascii="Times New Roman" w:hAnsi="Times New Roman"/>
          <w:b w:val="false"/>
          <w:i w:val="false"/>
          <w:color w:val="000000"/>
          <w:sz w:val="22"/>
        </w:rPr>
        <w:t>means to regularly undertake specific identifiable actions that encourage greater participation in an activity or that make an activity more visible and accessible. Active promotion includes the planning, organizing, advertising, marketing, managing, hosting, and sponsoring of a nonprofessional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CVB that has submitted an application to the authority for certification of a proposed district. For purposes of this chapter, “applicant” may include more than one CVB and one or more area communities located within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a regional sports authority district governing board consisting of members of the local communities served by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 and visitors 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“CVB” </w:t>
      </w:r>
      <w:r>
        <w:rPr>
          <w:rFonts w:ascii="Times New Roman" w:hAnsi="Times New Roman"/>
          <w:b w:val="false"/>
          <w:i w:val="false"/>
          <w:color w:val="000000"/>
          <w:sz w:val="22"/>
        </w:rPr>
        <w:t>means an organization engaged primarily in the marketing and promotion of a local community or communities to businesses and to leisure travelers interested in the area’s facilities. Such organizations are typically engaged in a wide range of activities including but not limited to assisting businesses and leisure travelers in identifying meeting locations and convention sites; providing maps and other travel information; providing information on local attractions, lodging, and restaurants; and organizing tours of local historical, recreational, and cultural attractions.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means a regional sports authority district certified by the authority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“Nonprofessional” </w:t>
      </w:r>
      <w:r>
        <w:rPr>
          <w:rFonts w:ascii="Times New Roman" w:hAnsi="Times New Roman"/>
          <w:b w:val="false"/>
          <w:i w:val="false"/>
          <w:color w:val="000000"/>
          <w:sz w:val="22"/>
        </w:rPr>
        <w:t>means an activity typically engaged in by amateurs and primarily for pleasure rather than for pecuniary benefit or other reasons indicating a professional interest in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regional sports authority district program authorized under Iowa Code section </w:t>
      </w:r>
      <w:hyperlink r:id="rId5">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 xml:space="preserve"> and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“Sporting event”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or by a local organization engaged in the development and active promotion of the athletic activity. A sporting event typically includes the placing of competitors into a fixed order of finish, depending upon their respective athletic performance within the rules provided for that activity. For purposes of this chapter, “sporting event” includes but is not limited to youth sports, high school athletic activities, the Special Olympics, and other nonprofessional athletic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261—38.2</w:t>
      </w:r>
      <w:r>
        <w:rPr>
          <w:rFonts w:ascii="Times New Roman" w:hAnsi="Times New Roman"/>
          <w:b/>
          <w:i w:val="false"/>
          <w:color w:val="000000"/>
          <w:sz w:val="22"/>
        </w:rPr>
        <w:t xml:space="preserve">(15E)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fiscal year in which funding is available, the authority will certify up to ten districts. The authority will certify the districts on a competitive basis. Certification will be based on the criteria described in subrule </w:t>
      </w:r>
      <w:hyperlink r:id="rId6">
        <w:r>
          <w:rPr>
            <w:rStyle w:val="Hyperlink"/>
            <w:rFonts w:ascii="Times New Roman" w:hAnsi="Times New Roman"/>
            <w:b w:val="false"/>
            <w:i w:val="false"/>
            <w:color w:val="000000"/>
            <w:sz w:val="22"/>
          </w:rPr>
          <w:t>38.4(1)</w:t>
        </w:r>
      </w:hyperlink>
      <w:r>
        <w:rPr>
          <w:rFonts w:ascii="Times New Roman" w:hAnsi="Times New Roman"/>
          <w:b w:val="false"/>
          <w:i w:val="false"/>
          <w:color w:val="000000"/>
          <w:sz w:val="22"/>
        </w:rPr>
        <w:t>, and the authority will certify districts in a manner designed to prioritize those events that provide the greatest total benefit to the state as a whole.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w:t>
      </w:r>
      <w:r>
        <w:rPr>
          <w:rFonts w:ascii="Times New Roman" w:hAnsi="Times New Roman"/>
          <w:b w:val="false"/>
          <w:i w:val="false"/>
          <w:color w:val="000000"/>
          <w:sz w:val="22"/>
        </w:rPr>
        <w:t> </w:t>
      </w:r>
      <w:r>
        <w:rPr>
          <w:rFonts w:ascii="Times New Roman" w:hAnsi="Times New Roman"/>
          <w:b w:val="false"/>
          <w:i w:val="false"/>
          <w:color w:val="000000"/>
          <w:sz w:val="22"/>
        </w:rPr>
        <w:t>The authority will award an equal amount of grant funds to each certified district. Funds will be awarded as reimbursement for expenditures that are directly related to the active promotion of one or more nonprofessional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w:t>
      </w:r>
      <w:r>
        <w:rPr>
          <w:rFonts w:ascii="Times New Roman" w:hAnsi="Times New Roman"/>
          <w:b w:val="false"/>
          <w:i w:val="false"/>
          <w:color w:val="000000"/>
          <w:sz w:val="22"/>
        </w:rPr>
        <w:t> </w:t>
      </w:r>
      <w:r>
        <w:rPr>
          <w:rFonts w:ascii="Times New Roman" w:hAnsi="Times New Roman"/>
          <w:b w:val="false"/>
          <w:i w:val="false"/>
          <w:color w:val="000000"/>
          <w:sz w:val="22"/>
        </w:rPr>
        <w:t>A district certified in one fiscal year retains its certification only for the duration of that fiscal year and must reapply for certification in each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38.2(4)</w:t>
      </w:r>
      <w:r>
        <w:rPr>
          <w:rFonts w:ascii="Times New Roman" w:hAnsi="Times New Roman"/>
          <w:b w:val="false"/>
          <w:i w:val="false"/>
          <w:color w:val="000000"/>
          <w:sz w:val="22"/>
        </w:rPr>
        <w:t> </w:t>
      </w:r>
      <w:r>
        <w:rPr>
          <w:rFonts w:ascii="Times New Roman" w:hAnsi="Times New Roman"/>
          <w:b w:val="false"/>
          <w:i w:val="false"/>
          <w:color w:val="000000"/>
          <w:sz w:val="22"/>
        </w:rPr>
        <w:t>The certification of districts and the awarding of grant funds are contingent upon the appropriation by the general assembly of moneys for such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261—38.3</w:t>
      </w:r>
      <w:r>
        <w:rPr>
          <w:rFonts w:ascii="Times New Roman" w:hAnsi="Times New Roman"/>
          <w:b/>
          <w:i w:val="false"/>
          <w:color w:val="000000"/>
          <w:sz w:val="22"/>
        </w:rPr>
        <w:t xml:space="preserve">(15E) </w:t>
      </w:r>
      <w:r>
        <w:rPr>
          <w:rFonts w:ascii="Times New Roman" w:hAnsi="Times New Roman"/>
          <w:b/>
          <w:i w:val="false"/>
          <w:color w:val="000000"/>
          <w:sz w:val="22"/>
        </w:rPr>
        <w:t xml:space="preserve">Program eligibility and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propose to operate a regional sports authority district that is governed by a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consist of seven members named by the applicant, of whom at least three members shall be city council members of any cities located in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propose, and be responsible for overseeing, a program of activities designed to foster the active promotion of one or more nonprofessional sporting events in the district during the fiscal year for which the applicant is applying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demonstrate an amount of local match equal to at least 50 percent of the amount of grant funds to be received by the applicant under the program. The local match shall be in the form of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application including all of the information described in subrule </w:t>
      </w:r>
      <w:hyperlink r:id="rId7">
        <w:r>
          <w:rPr>
            <w:rStyle w:val="Hyperlink"/>
            <w:rFonts w:ascii="Times New Roman" w:hAnsi="Times New Roman"/>
            <w:b w:val="false"/>
            <w:i w:val="false"/>
            <w:color w:val="000000"/>
            <w:sz w:val="22"/>
          </w:rPr>
          <w:t>38.3(2)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the application on or before the application deadline established in subrule 38.3(3).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When submitting an application for grant funds under the program, an applicant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email address, telephone number, contact person, and federal employer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nonprofessional sporting events the applicant intends to actively promote using funds received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each proposed nonprofessional sporting event will be held and the location at which the event will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documentation establishing the amount and source of the required local cash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Names and contact information of the board and an indication as to which of the board members are city council members as required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Detailed information and projections sufficient to enable the authority to accurately assess the economic impact of the nonprofessional sporting events described in the application. Such information shall include the estimated number of participants and the estimated number of spectators expected to attend the event. If the applicant has previously held substantially similar events, the information shall include actual attendance figures from past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38.3(3)</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authority will only consider applications received on or before the applicable deadline. The deadline shall be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on September 1 of each fiscal year unless the authority, at its sole discretion, provides a different deadline for the submission of applications. The authority may provide a different deadline for the program as a whole, but the authority will not change the deadline at the request of any individual applicant. The authority will develop an application process and post all relevant application information, including deadline changes, on its Internet site at </w:t>
      </w:r>
      <w:hyperlink r:id="rId8">
        <w:r>
          <w:rPr>
            <w:rStyle w:val="Hyperlink"/>
            <w:rFonts w:ascii="Times New Roman" w:hAnsi="Times New Roman"/>
            <w:b w:val="false"/>
            <w:i w:val="false"/>
            <w:color w:val="000000"/>
            <w:sz w:val="22"/>
            <w:u w:val="single"/>
          </w:rPr>
          <w:t>www.traveliowa.com</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4509C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261—38.4</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scoring and certification of districts.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38.4(1)</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w:t>
      </w:r>
      <w:r>
        <w:rPr>
          <w:rFonts w:ascii="Times New Roman" w:hAnsi="Times New Roman"/>
          <w:b w:val="false"/>
          <w:i w:val="false"/>
          <w:color w:val="000000"/>
          <w:sz w:val="22"/>
        </w:rPr>
        <w:t xml:space="preserve">The authority will not review or score an application unless it meets the requirements and deadlines of rule </w:t>
      </w:r>
      <w:hyperlink r:id="rId9">
        <w:r>
          <w:rPr>
            <w:rStyle w:val="Hyperlink"/>
            <w:rFonts w:ascii="Times New Roman" w:hAnsi="Times New Roman"/>
            <w:b w:val="false"/>
            <w:i w:val="false"/>
            <w:color w:val="000000"/>
            <w:sz w:val="22"/>
          </w:rPr>
          <w:t>261—38.3</w:t>
        </w:r>
      </w:hyperlink>
      <w:r>
        <w:rPr>
          <w:rFonts w:ascii="Times New Roman" w:hAnsi="Times New Roman"/>
          <w:b w:val="false"/>
          <w:i w:val="false"/>
          <w:color w:val="000000"/>
          <w:sz w:val="22"/>
        </w:rPr>
        <w:t xml:space="preserve">(15E). An application that meets the requirements and deadlines of rule </w:t>
      </w:r>
      <w:hyperlink r:id="rId10">
        <w:r>
          <w:rPr>
            <w:rStyle w:val="Hyperlink"/>
            <w:rFonts w:ascii="Times New Roman" w:hAnsi="Times New Roman"/>
            <w:b w:val="false"/>
            <w:i w:val="false"/>
            <w:color w:val="000000"/>
            <w:sz w:val="22"/>
          </w:rPr>
          <w:t>261—38.3</w:t>
        </w:r>
      </w:hyperlink>
      <w:r>
        <w:rPr>
          <w:rFonts w:ascii="Times New Roman" w:hAnsi="Times New Roman"/>
          <w:b w:val="false"/>
          <w:i w:val="false"/>
          <w:color w:val="000000"/>
          <w:sz w:val="22"/>
        </w:rPr>
        <w:t>(15E) will be given a numerical score between 0 and 100. The higher an application’s numerical score, the more likely it will receive funding under the program. The criteria used to score the applications and the maximum number of points that may be attributed to each criterion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30 points. The authority will consider the amount of economic impact represented by the proposed nonprofessional sporting events and will view favorably events that have a greater economic impact. Economic impact will be determined by using the following calculation: Applicants will estimate the number of hotel room nights generated by each proposed nonprofessional sporting event and multiply the number of estimated hotel room nights by the average daily room rate for Iowa hotels. The average daily room rate will be provided by the Iowa tourism office based on information obtained from a hotel market data service. Intentionally inflated estimates of attendance or a history of providing inaccurate estimates will negatively affect the scoring of an application and may result in noncertification of a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Leveraged funds ratio: 20 points. The authority will consider the proportion of state funds to total funds in the application and will view favorably a greater rate of financial participation from entities other than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Novelty and quality: 20 points. The authority will consider the novelty and quality of an event and will view favorably nonprofessional sporting events that are new to Iowa or that have been recently improved, enhanced, or enlarged.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Event size and scope: 15 points. The authority will consider the size of an event and will view favorably a project with a larger total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Need: 10 points. The authority will consider the financial need of an applicant and will recognize the importance of funding events that would not take place without assistance under the program. The authority will also recognize the importance of funding nonprofessional sporting events that have never before been funded under the program or under another state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Geographic diversity: 5 points. The authority will consider the geographic diversity represented by the pool of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process. </w:t>
      </w:r>
      <w:r>
        <w:rPr>
          <w:rFonts w:ascii="Times New Roman" w:hAnsi="Times New Roman"/>
          <w:b w:val="false"/>
          <w:i w:val="false"/>
          <w:color w:val="000000"/>
          <w:sz w:val="22"/>
        </w:rPr>
        <w:t xml:space="preserve">The authority will certify not more than ten districts each fiscal year in which funding is available for the program. The director of the authority will establish a regional sports authority district review committee within the authority consisting of authority staff. The committee will score all completed applications according to the criteria described in subrule </w:t>
      </w:r>
      <w:hyperlink r:id="rId11">
        <w:r>
          <w:rPr>
            <w:rStyle w:val="Hyperlink"/>
            <w:rFonts w:ascii="Times New Roman" w:hAnsi="Times New Roman"/>
            <w:b w:val="false"/>
            <w:i w:val="false"/>
            <w:color w:val="000000"/>
            <w:sz w:val="22"/>
          </w:rPr>
          <w:t>38.4(1)</w:t>
        </w:r>
      </w:hyperlink>
      <w:r>
        <w:rPr>
          <w:rFonts w:ascii="Times New Roman" w:hAnsi="Times New Roman"/>
          <w:b w:val="false"/>
          <w:i w:val="false"/>
          <w:color w:val="000000"/>
          <w:sz w:val="22"/>
        </w:rPr>
        <w:t xml:space="preserve">. The authority may certify fewer than ten districts in a fiscal year if fewer than ten completed applications are timely received or if fewer than ten completed applications meet the minimum threshold for certification. The minimum threshold for certification is the accumulation of 50 or more points out of 100 total points on the scoring criteria described in subrule </w:t>
      </w:r>
      <w:hyperlink r:id="rId12">
        <w:r>
          <w:rPr>
            <w:rStyle w:val="Hyperlink"/>
            <w:rFonts w:ascii="Times New Roman" w:hAnsi="Times New Roman"/>
            <w:b w:val="false"/>
            <w:i w:val="false"/>
            <w:color w:val="000000"/>
            <w:sz w:val="22"/>
          </w:rPr>
          <w:t>38.4(1)</w:t>
        </w:r>
      </w:hyperlink>
      <w:r>
        <w:rPr>
          <w:rFonts w:ascii="Times New Roman" w:hAnsi="Times New Roman"/>
          <w:b w:val="false"/>
          <w:i w:val="false"/>
          <w:color w:val="000000"/>
          <w:sz w:val="22"/>
        </w:rPr>
        <w:t>. If, after all of the completed applications have been initially scored, fewer than ten districts would be certified, the authority may allow one or more additional rounds of applications to be submitted and scored. For each additional round of applications, the authority will follow the same eligibility requirements and use the same scoring criteria as used in earlier rounds. The authority may accept as many rounds of applications for certification as it deems appropriate. After the conclusion of all application rounds, the authority will award grant funds to each of the certified districts in equal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38.4(3)</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award amounts. </w:t>
      </w:r>
      <w:r>
        <w:rPr>
          <w:rFonts w:ascii="Times New Roman" w:hAnsi="Times New Roman"/>
          <w:b w:val="false"/>
          <w:i w:val="false"/>
          <w:color w:val="000000"/>
          <w:sz w:val="22"/>
        </w:rPr>
        <w:t xml:space="preserve">If a certified district fails to hold a nonprofessional sporting event described in the application, then that district may reallocate the proposed expenses allocated for that event to another event provided such other event is also included on the application. If there are no other events included on the application to which the proposed expenses may be allocated, then the district shall forfeit the amount of proposed expenses and the authority may award that amount to other applicants or districts. The authority may rescore the application of any applicant seeking to reallocate award amounts, and if the failure to hold a nonprofessional sporting event as described in the initially scored application would cause a material change in the application’s overall quality in relation to other applications, the authority may allow an additional round of applications as described in subrule 38.4(2). No applicant may reallocate award amounts, even after a rescoring, without executing a contract amendment as described in rule </w:t>
      </w:r>
      <w:hyperlink r:id="rId13">
        <w:r>
          <w:rPr>
            <w:rStyle w:val="Hyperlink"/>
            <w:rFonts w:ascii="Times New Roman" w:hAnsi="Times New Roman"/>
            <w:b w:val="false"/>
            <w:i w:val="false"/>
            <w:color w:val="000000"/>
            <w:sz w:val="22"/>
          </w:rPr>
          <w:t>261—38.5</w:t>
        </w:r>
      </w:hyperlink>
      <w:r>
        <w:rPr>
          <w:rFonts w:ascii="Times New Roman" w:hAnsi="Times New Roman"/>
          <w:b w:val="false"/>
          <w:i w:val="false"/>
          <w:color w:val="000000"/>
          <w:sz w:val="22"/>
        </w:rPr>
        <w:t>(15E).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4509C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261—38.5</w:t>
      </w:r>
      <w:r>
        <w:rPr>
          <w:rFonts w:ascii="Times New Roman" w:hAnsi="Times New Roman"/>
          <w:b/>
          <w:i w:val="false"/>
          <w:color w:val="000000"/>
          <w:sz w:val="22"/>
        </w:rPr>
        <w:t xml:space="preserve">(15E)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w:t>
      </w:r>
      <w:r>
        <w:rPr>
          <w:rFonts w:ascii="Times New Roman" w:hAnsi="Times New Roman"/>
          <w:b w:val="false"/>
          <w:i w:val="false"/>
          <w:color w:val="000000"/>
          <w:sz w:val="22"/>
        </w:rPr>
        <w:t>The authority will notify successful applicants in writing of approved requests for certification. Such a notification may include the terms or conditions under which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Each successful applicant shall enter into a contract with the authority. The contract will describe the nonprofessional sporting events that the applicant will actively promote as part of the certified district and will include the terms and conditions under which the grant funds will be disbursed. The contract will also include the terms and conditions under which grant funds must be repaid or penalties incurred in the event the district does not fulfill all obligations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38.5(3)</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All requests by a district for an amendment to the contract will require the approval of the director of the authority. The director will review each such request and approve or deny it. If a request is approved, the district and the director will execute a written amendment to the contract. Only a written amendment duly executed by both parties to the contract will be valid and binding.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38.5(4)</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r>
        <w:rPr>
          <w:rFonts w:ascii="Times New Roman" w:hAnsi="Times New Roman"/>
          <w:b w:val="false"/>
          <w:i w:val="false"/>
          <w:color w:val="000000"/>
          <w:sz w:val="22"/>
        </w:rPr>
        <w:t>Each certified district shall submit a written report to the authority within 90 days of the end of the performance period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38.5(5)</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Each certified district shall maintain all records necessary for the verification and validation of the proper use of grant funds under the contract and shall submit such records to the authority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261—38.6</w:t>
      </w:r>
      <w:r>
        <w:rPr>
          <w:rFonts w:ascii="Times New Roman" w:hAnsi="Times New Roman"/>
          <w:b/>
          <w:i w:val="false"/>
          <w:color w:val="000000"/>
          <w:sz w:val="22"/>
        </w:rPr>
        <w:t xml:space="preserve">(15E) </w:t>
      </w:r>
      <w:r>
        <w:rPr>
          <w:rFonts w:ascii="Times New Roman" w:hAnsi="Times New Roman"/>
          <w:b/>
          <w:i w:val="false"/>
          <w:color w:val="000000"/>
          <w:sz w:val="22"/>
        </w:rPr>
        <w:t xml:space="preserve">Expenses, records, and reimbursements.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certified district shall at all times incur expenses and be reimbursed for such expenses by the authority only as described in this chapter or in a contract executed hereunder. The authority may deny reimbursement for any expenditure not directly related to the active promotion of a nonprofessional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38.6(2)</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Only expenditures directly related to the active promotion of a nonprofessional sporting event will be reimbursed under the program. Items that will be considered eligible expenses include but are not limited to bid fees, rights fees, sponsorships, payments to vendors, advertising, marketing, venue rental, equipment rental, promotional materials, production costs, and fees and costs for officiants.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38.6(3)</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Expenses that are not directly related to the active promotion of a nonprofessional sporting event are not eligible for reimbursement. Ineligible expenses include but are not limited to travel costs of applicant staff, solicitation efforts, lobbying fees, meals or dining on occasions other than the dates of the nonprofessional sporting events described in the application, items that are purchased for resale, prizes given to participants, and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38.6(4)</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and reimbursements. </w:t>
      </w:r>
      <w:r>
        <w:rPr>
          <w:rFonts w:ascii="Times New Roman" w:hAnsi="Times New Roman"/>
          <w:b w:val="false"/>
          <w:i w:val="false"/>
          <w:color w:val="000000"/>
          <w:sz w:val="22"/>
        </w:rPr>
        <w:t>A district shall submit any records requested by the authority as documentation of the expenditures incurred for purposes of the grant funds awarded under the program. Such records may include invoices, original receipts, or check copies. The authority will only accept records submitted in the name of the district that has executed a contract. If a district pays an expense using a credit card, the district shall submit a copy of a check register or bank statement indicating that the credit card invoice was paid. The authority will not reimburse any expenses included on a receipt that includes both eligible expenses and ineligible expenses. The authority will not reimburse expenses included on a nonitemized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38.6(5)</w:t>
      </w:r>
      <w:r>
        <w:rPr>
          <w:rFonts w:ascii="Times New Roman" w:hAnsi="Times New Roman"/>
          <w:b w:val="false"/>
          <w:i w:val="false"/>
          <w:color w:val="000000"/>
          <w:sz w:val="22"/>
        </w:rPr>
        <w:t> </w:t>
      </w:r>
      <w:r>
        <w:rPr>
          <w:rFonts w:ascii="Times New Roman" w:hAnsi="Times New Roman"/>
          <w:b w:val="false"/>
          <w:i/>
          <w:color w:val="000000"/>
          <w:sz w:val="22"/>
        </w:rPr>
        <w:t xml:space="preserve">Repayments of certain funds. </w:t>
      </w:r>
      <w:r>
        <w:rPr>
          <w:rFonts w:ascii="Times New Roman" w:hAnsi="Times New Roman"/>
          <w:b w:val="false"/>
          <w:i w:val="false"/>
          <w:color w:val="000000"/>
          <w:sz w:val="22"/>
        </w:rPr>
        <w:t>If the authority reimburses a district for the cost of a refundable bid fee and the applicant is unsuccessful in the effort to win the right to hold that event, then the district shall return the amount of such reimbursement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38.6(6)</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funds. </w:t>
      </w:r>
      <w:r>
        <w:rPr>
          <w:rFonts w:ascii="Times New Roman" w:hAnsi="Times New Roman"/>
          <w:b w:val="false"/>
          <w:i w:val="false"/>
          <w:color w:val="000000"/>
          <w:sz w:val="22"/>
        </w:rPr>
        <w:t>If, at the time of a district’s final reporting of expenses, the district cannot adequately document eligible expenses or documents an amount that is less than the awarded amount, the authority may award additional funds to other certified districts, open additional rounds of certification, or revert the moneys to the general fund. If the authority awards additional funds to already certified districts, such districts shall submit documentation establishing how such funds will be expended, and the authority will execute contract amendments providing for the expenditure of the additional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0440C</w:t>
      </w:r>
      <w:r>
        <w:rPr>
          <w:rFonts w:ascii="Times New Roman" w:hAnsi="Times New Roman"/>
          <w:b w:val="false"/>
          <w:i w:val="false"/>
          <w:color w:val="000000"/>
          <w:sz w:val="16"/>
        </w:rPr>
        <w:t>, IAB 11/14/12, effective 12/19/12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0440C</w:t>
      </w:r>
      <w:r>
        <w:rPr>
          <w:rFonts w:ascii="Times New Roman" w:hAnsi="Times New Roman"/>
          <w:b w:val="false"/>
          <w:i w:val="false"/>
          <w:color w:val="000000"/>
          <w:sz w:val="21"/>
        </w:rPr>
        <w:t xml:space="preserve"> (Notice ARC 0280C,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4509C</w:t>
      </w:r>
      <w:r>
        <w:rPr>
          <w:rFonts w:ascii="Times New Roman" w:hAnsi="Times New Roman"/>
          <w:b w:val="false"/>
          <w:i w:val="false"/>
          <w:color w:val="000000"/>
          <w:sz w:val="21"/>
        </w:rPr>
        <w:t xml:space="preserve"> (Notice ARC 4354C, IAB 3/27/19)</w:t>
      </w:r>
      <w:r>
        <w:rPr>
          <w:rFonts w:ascii="Times New Roman" w:hAnsi="Times New Roman"/>
          <w:b w:val="false"/>
          <w:i w:val="false"/>
          <w:color w:val="000000"/>
          <w:sz w:val="21"/>
        </w:rPr>
        <w:t>, IAB 6/19/19, effective 7/24/19]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E.321.pdf" Type="http://schemas.openxmlformats.org/officeDocument/2006/relationships/hyperlink" Id="rId5"/>
    <Relationship TargetMode="External" Target="https://www.legis.iowa.gov/docs/iac/rule/261.38.4.pdf" Type="http://schemas.openxmlformats.org/officeDocument/2006/relationships/hyperlink" Id="rId6"/>
    <Relationship TargetMode="External" Target="https://www.legis.iowa.gov/docs/iac/rule/261.38.3.pdf" Type="http://schemas.openxmlformats.org/officeDocument/2006/relationships/hyperlink" Id="rId7"/>
    <Relationship TargetMode="External" Target="www.traveliowa.com" Type="http://schemas.openxmlformats.org/officeDocument/2006/relationships/hyperlink" Id="rId8"/>
    <Relationship TargetMode="External" Target="https://www.legis.iowa.gov/docs/iac/rule/261.38.3.pdf" Type="http://schemas.openxmlformats.org/officeDocument/2006/relationships/hyperlink" Id="rId9"/>
    <Relationship TargetMode="External" Target="https://www.legis.iowa.gov/docs/iac/rule/261.38.3.pdf" Type="http://schemas.openxmlformats.org/officeDocument/2006/relationships/hyperlink" Id="rId10"/>
    <Relationship TargetMode="External" Target="https://www.legis.iowa.gov/docs/iac/rule/261.38.4.pdf" Type="http://schemas.openxmlformats.org/officeDocument/2006/relationships/hyperlink" Id="rId11"/>
    <Relationship TargetMode="External" Target="https://www.legis.iowa.gov/docs/iac/rule/261.38.4.pdf" Type="http://schemas.openxmlformats.org/officeDocument/2006/relationships/hyperlink" Id="rId12"/>
    <Relationship TargetMode="External" Target="https://www.legis.iowa.gov/docs/iac/rule/261.38.5.pdf" Type="http://schemas.openxmlformats.org/officeDocument/2006/relationships/hyperlink" Id="rId13"/>
    <Relationship TargetMode="External" Target="https://www.legis.iowa.gov/docs/ico/chapter/15E.32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