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w:t>
      </w:r>
    </w:p>
    <w:p>
      <w:pPr>
        <w:spacing w:before="0" w:after="0"/>
        <w:ind w:left="120"/>
        <w:jc w:val="center"/>
      </w:pPr>
      <w:r>
        <w:rPr>
          <w:rFonts w:ascii="Times New Roman" w:hAnsi="Times New Roman"/>
          <w:b w:val="false"/>
          <w:i w:val="false"/>
          <w:color w:val="000000"/>
          <w:sz w:val="21"/>
        </w:rPr>
        <w:t>RURAL INNOVATION GRANT PROGRAM</w:t>
      </w:r>
    </w:p>
    <w:p>
      <w:pPr>
        <w:spacing w:before="0" w:after="0"/>
        <w:ind w:left="120"/>
        <w:jc w:val="center"/>
      </w:pPr>
      <w:r>
        <w:rPr>
          <w:rFonts w:ascii="Times New Roman" w:hAnsi="Times New Roman"/>
          <w:b w:val="false"/>
          <w:i w:val="false"/>
          <w:color w:val="000000"/>
          <w:sz w:val="14"/>
        </w:rPr>
        <w:t>[Prior to 02/22/23, see Economic Development Authority[261] Ch 221]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261—29.1</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rural innovation grant program is to support creative, nontraditional ideas that focus on current issues and challenges faced by rural communities associated with the themes of community investment, growth, and connection.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5093C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261—29.2</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Iowa business, college, university, city, county, council of governments organization established by Iowa Code chapter </w:t>
      </w:r>
      <w:hyperlink r:id="rId5">
        <w:r>
          <w:rPr>
            <w:rStyle w:val="Hyperlink"/>
            <w:rFonts w:ascii="Times New Roman" w:hAnsi="Times New Roman"/>
            <w:b w:val="false"/>
            <w:i w:val="false"/>
            <w:color w:val="000000"/>
            <w:sz w:val="22"/>
          </w:rPr>
          <w:t>28H</w:t>
        </w:r>
      </w:hyperlink>
      <w:r>
        <w:rPr>
          <w:rFonts w:ascii="Times New Roman" w:hAnsi="Times New Roman"/>
          <w:b w:val="false"/>
          <w:i w:val="false"/>
          <w:color w:val="000000"/>
          <w:sz w:val="22"/>
        </w:rPr>
        <w:t>, K-12 educational institution, or private nonprofit agency or foundation applying for financial assistance under the program. A business will be considered an Iowa business if the business is incorporated in the state of Iowa or authorized to do business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grant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rural innovation grant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program or activity undertaken in and for the benefit of a community in Iowa with a population of 20,000 or less and not contiguous to a city with a population of 40,000 or greater.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5093C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6319C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261—29.3</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amount of assistance awarded will be determined by the authority based on the total amount of funds available to the authority for the program and based on the project details. The authority will establish a maximum grant award per application and a minimum grant award per application for each fiscal year in which funding is available. The authority will provide financial assistance in the form of a grant. Funds will be disbursed on a reimbursement basis for expenses incurred by the applicant after approval of an award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established by the authority. Information about the program, the application, and application instructions may be obtained by contacting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during the established application period, or periods, as identified by the authority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Frequency of application. </w:t>
      </w:r>
      <w:r>
        <w:rPr>
          <w:rFonts w:ascii="Times New Roman" w:hAnsi="Times New Roman"/>
          <w:b w:val="false"/>
          <w:i w:val="false"/>
          <w:color w:val="000000"/>
          <w:sz w:val="22"/>
        </w:rPr>
        <w:t xml:space="preserve">An eligible applicant may only be named as the primary entity on one application per application period. However, an applicant who has applied as the primary entity for an application may also be named as a partner on additional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 required.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use funds only for reimbursement of the costs directly related to the project. The authority may require documentation or other information establishing the actual costs incurred for a project. Failure to use the funds for reimbursement of the costs directly related to a project shall be grounds for default under the agreement required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“costs directly related” does not include ineligible expenses such as international travel, domestic travel outside the state of Iowa, insurance, training or professional development courses, and any other expenses specified as ineligible in the agreement required pursuant to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5093C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261—29.4</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An applicant must meet the following eligibility criteria to qualify for financial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meet the definition of “applicant” in rule </w:t>
      </w:r>
      <w:hyperlink r:id="rId7">
        <w:r>
          <w:rPr>
            <w:rStyle w:val="Hyperlink"/>
            <w:rFonts w:ascii="Times New Roman" w:hAnsi="Times New Roman"/>
            <w:b w:val="false"/>
            <w:i w:val="false"/>
            <w:color w:val="000000"/>
            <w:sz w:val="22"/>
          </w:rPr>
          <w:t>261—29.2</w:t>
        </w:r>
      </w:hyperlink>
      <w:r>
        <w:rPr>
          <w:rFonts w:ascii="Times New Roman" w:hAnsi="Times New Roman"/>
          <w:b w:val="false"/>
          <w:i w:val="false"/>
          <w:color w:val="000000"/>
          <w:sz w:val="22"/>
        </w:rPr>
        <w:t xml:space="preserve">(88GA,SF608).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is not a local government entity, the applicant must demonstrate support from the local government entity as evidenced by a letter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serve a city that has a population of 20,000 or less and that is not contiguous to a city with a population of 40,000 or greater.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the capacity for administering a grant.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a cash match of at least 50 cents for every dollar awarded as a grant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demonstrate that the project does not consist of ongoing expenses for existing projects or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All completed applications will be reviewed and scored. Each application will be scored using criteria set forth by the authority,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Alignment with program purpose. The application should demonstrate that the project aligns with the program purpose by developing a nontraditional, concrete solution to increase rural community vibrancy.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Innovation. The application should demonstrate that the project will address rural challenges through exceptional and creative solutions.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Replicability. The application should demonstrate a clear opportunity for successful replication in rural communities across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Roles defined. The application should identify and describe the roles of all partners involved in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 goals and timeline. The application should demonstrate clearly defined, measurable goals and a timeline for execution of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 budget and financing. The application should include a complete budget that provides clear justification for all costs. The application should also demonstrate secured financing and that the cash match requirement has been met.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Additional points. Extra consideration is provided to projects that have been endorsed by the Iowa great places citizens advisory board (additional five points added to score total), as well as those located in a community with a population of 5,000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Funding decisions will be made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 xml:space="preserve">Each application will be reviewed by staff for eligibility and completeness. Complete applications meeting all eligibility requirements will be sent to a grant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 committee review and recommendation. </w:t>
      </w:r>
      <w:r>
        <w:rPr>
          <w:rFonts w:ascii="Times New Roman" w:hAnsi="Times New Roman"/>
          <w:b w:val="false"/>
          <w:i w:val="false"/>
          <w:color w:val="000000"/>
          <w:sz w:val="22"/>
        </w:rPr>
        <w:t xml:space="preserve">Following staff review, a grant committee will review and score applications using the criteria in subrule </w:t>
      </w:r>
      <w:hyperlink r:id="rId8">
        <w:r>
          <w:rPr>
            <w:rStyle w:val="Hyperlink"/>
            <w:rFonts w:ascii="Times New Roman" w:hAnsi="Times New Roman"/>
            <w:b w:val="false"/>
            <w:i w:val="false"/>
            <w:color w:val="000000"/>
            <w:sz w:val="22"/>
          </w:rPr>
          <w:t>29.4(2)</w:t>
        </w:r>
      </w:hyperlink>
      <w:r>
        <w:rPr>
          <w:rFonts w:ascii="Times New Roman" w:hAnsi="Times New Roman"/>
          <w:b w:val="false"/>
          <w:i w:val="false"/>
          <w:color w:val="000000"/>
          <w:sz w:val="22"/>
        </w:rPr>
        <w:t xml:space="preserve"> and will make funding recommendations. The committee may utilize an outside technical panel if the committee determines additional expertise is necessary to review and score the application. The application and score will be referred to the director with a recommendation as to whether to fund the project and, if funding is recommended, a recommendation as to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Director’s decision. </w:t>
      </w:r>
      <w:r>
        <w:rPr>
          <w:rFonts w:ascii="Times New Roman" w:hAnsi="Times New Roman"/>
          <w:b w:val="false"/>
          <w:i w:val="false"/>
          <w:color w:val="000000"/>
          <w:sz w:val="22"/>
        </w:rPr>
        <w:t>The director will make the final funding decision on each application, taking into consideration the amount of available funding and the grant committee’s recommendation. The director may approve, deny, or defer funding for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applicant will be notified in writing of the funding decision within 15 days of the director’s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5093C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6319C</w:t>
      </w:r>
      <w:r>
        <w:rPr>
          <w:rFonts w:ascii="Times New Roman" w:hAnsi="Times New Roman"/>
          <w:b w:val="false"/>
          <w:i w:val="false"/>
          <w:color w:val="000000"/>
          <w:sz w:val="16"/>
        </w:rPr>
        <w:t>, IAB 5/18/22, effective 6/22/22</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261—29.5</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Agreement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for the provision of such financial assistance. The agreement will establish the terms on which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29.5(3)</w:t>
      </w:r>
      <w:r>
        <w:rPr>
          <w:rFonts w:ascii="Times New Roman" w:hAnsi="Times New Roman"/>
          <w:b w:val="false"/>
          <w:i w:val="false"/>
          <w:color w:val="000000"/>
          <w:sz w:val="22"/>
        </w:rPr>
        <w:t> </w:t>
      </w:r>
      <w:r>
        <w:rPr>
          <w:rFonts w:ascii="Times New Roman" w:hAnsi="Times New Roman"/>
          <w:b w:val="false"/>
          <w:i w:val="false"/>
          <w:color w:val="000000"/>
          <w:sz w:val="22"/>
        </w:rPr>
        <w:t>The agreement may require an applicant that has been approved for financial assistance under the program to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5093C</w:t>
      </w:r>
      <w:r>
        <w:rPr>
          <w:rFonts w:ascii="Times New Roman" w:hAnsi="Times New Roman"/>
          <w:b w:val="false"/>
          <w:i w:val="false"/>
          <w:color w:val="000000"/>
          <w:sz w:val="16"/>
        </w:rPr>
        <w:t>, IAB 7/15/20, effective 8/19/20</w:t>
      </w:r>
      <w:r>
        <w:rPr>
          <w:rFonts w:ascii="Times New Roman" w:hAnsi="Times New Roman"/>
          <w:b w:val="false"/>
          <w:i w:val="false"/>
          <w:color w:val="000000"/>
          <w:sz w:val="16"/>
        </w:rPr>
        <w:t xml:space="preserve">; </w:t>
      </w:r>
      <w:r>
        <w:rPr>
          <w:rFonts w:ascii="Times New Roman" w:hAnsi="Times New Roman"/>
          <w:b/>
          <w:i w:val="false"/>
          <w:color w:val="000000"/>
          <w:sz w:val="16"/>
        </w:rPr>
        <w:t>ARC 6892C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Senate File 608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5093C</w:t>
      </w:r>
      <w:r>
        <w:rPr>
          <w:rFonts w:ascii="Times New Roman" w:hAnsi="Times New Roman"/>
          <w:b w:val="false"/>
          <w:i w:val="false"/>
          <w:color w:val="000000"/>
          <w:sz w:val="21"/>
        </w:rPr>
        <w:t xml:space="preserve"> (Notice ARC 4775C, IAB 11/20/19)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6892C</w:t>
      </w:r>
      <w:r>
        <w:rPr>
          <w:rFonts w:ascii="Times New Roman" w:hAnsi="Times New Roman"/>
          <w:b w:val="false"/>
          <w:i w:val="false"/>
          <w:color w:val="000000"/>
          <w:sz w:val="21"/>
        </w:rPr>
        <w:t xml:space="preserve"> (Notice ARC 6737C, IAB 12/14/22)</w:t>
      </w:r>
      <w:r>
        <w:rPr>
          <w:rFonts w:ascii="Times New Roman" w:hAnsi="Times New Roman"/>
          <w:b w:val="false"/>
          <w:i w:val="false"/>
          <w:color w:val="000000"/>
          <w:sz w:val="21"/>
        </w:rPr>
        <w:t>, IAB 2/22/23, effective 3/29/23]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H.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ac/rule/261.29.2.pdf" Type="http://schemas.openxmlformats.org/officeDocument/2006/relationships/hyperlink" Id="rId7"/>
    <Relationship TargetMode="External" Target="https://www.legis.iowa.gov/docs/ico/chapter/29.4.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