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RURAL HOUSING NEEDS ASSESSMENT GRANT PROGRAM</w:t>
      </w:r>
    </w:p>
    <w:p>
      <w:pPr>
        <w:spacing w:before="0" w:after="0"/>
        <w:ind w:left="120"/>
        <w:jc w:val="center"/>
      </w:pPr>
      <w:r>
        <w:rPr>
          <w:rFonts w:ascii="Times New Roman" w:hAnsi="Times New Roman"/>
          <w:b w:val="false"/>
          <w:i w:val="false"/>
          <w:color w:val="000000"/>
          <w:sz w:val="14"/>
        </w:rPr>
        <w:t>[Prior to 02/22/23, see Economic Development Authority[261] Ch 220]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261—28.1</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rural housing needs assessment grant program is to support the use of publicly available information and support community efforts to interpret hard data with supplemental information and to help communities implement changes to development codes, local ordinances, and housing incentives according to the community’s needs.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5092C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261—28.2</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an Iowa community applying for financial assistance under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a county, an incorporated city, or a community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designee” </w:t>
      </w:r>
      <w:r>
        <w:rPr>
          <w:rFonts w:ascii="Times New Roman" w:hAnsi="Times New Roman"/>
          <w:b w:val="false"/>
          <w:i w:val="false"/>
          <w:color w:val="000000"/>
          <w:sz w:val="22"/>
        </w:rPr>
        <w:t xml:space="preserve">means a legal entity established or designated by a county or incorporated city in an agreement pursuant to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the purposes of evaluating housing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grant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rural housing needs assessment grant program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5092C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5693C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261—28.3</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r>
        <w:rPr>
          <w:rFonts w:ascii="Times New Roman" w:hAnsi="Times New Roman"/>
          <w:b w:val="false"/>
          <w:i w:val="false"/>
          <w:color w:val="000000"/>
          <w:sz w:val="22"/>
        </w:rPr>
        <w:t>The amount of assistance awarded will be determined by the authority and will be based on the total amount of funds available to the authority for the program and the costs specified in the application. The authority will establish a maximum grant award per application and a minimum grant award per application for each fiscal year in which funding is available. The authority will provide financial assistance in the form of a grant. Funds will be disbursed on a reimbursement basis for expenses incurred by the applicant after approval of an award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applications and other filings related to the program shall be on such forms and in accordance with such instructions as may be established by the authority. Information about the program, the application, and application instructions may be obtained by contacting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during the established application period, or periods, as identified by the authority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required. </w:t>
      </w:r>
      <w:r>
        <w:rPr>
          <w:rFonts w:ascii="Times New Roman" w:hAnsi="Times New Roman"/>
          <w:b w:val="false"/>
          <w:i w:val="false"/>
          <w:color w:val="000000"/>
          <w:sz w:val="22"/>
        </w:rPr>
        <w:t>An application shall not be considered submitted for review until the application is completed and all required supporting documentation and information are provided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use funds only for reimbursement of the costs directly related to the project. The authority may require documentation or other information establishing the actual costs incurred for a project. Failure to use the funds for reimbursement of the costs directly related to a project shall be grounds for default under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“costs directly related” does not include any expenses specified as ineligible in the agreement required pursuant to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5092C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5693C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261—28.4</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An applicant must meet the following eligibility criteria to qualify for financial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be an Iowa community as defined in rule </w:t>
      </w:r>
      <w:hyperlink r:id="rId7">
        <w:r>
          <w:rPr>
            <w:rStyle w:val="Hyperlink"/>
            <w:rFonts w:ascii="Times New Roman" w:hAnsi="Times New Roman"/>
            <w:b w:val="false"/>
            <w:i w:val="false"/>
            <w:color w:val="000000"/>
            <w:sz w:val="22"/>
          </w:rPr>
          <w:t>261—28.2</w:t>
        </w:r>
      </w:hyperlink>
      <w:r>
        <w:rPr>
          <w:rFonts w:ascii="Times New Roman" w:hAnsi="Times New Roman"/>
          <w:b w:val="false"/>
          <w:i w:val="false"/>
          <w:color w:val="000000"/>
          <w:sz w:val="22"/>
        </w:rPr>
        <w:t xml:space="preserve">(88GA,SF608).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that is an incorporated city must have a population of 20,000 or less and shall not be contiguous to a city with a population of 40,000 or greater. An applicant that is a county shall be one of the 88 least populous counties in the state. An applicant that is a community designee shall have entered an agreement pursuant to Iowa Code chapter </w:t>
      </w:r>
      <w:hyperlink r:id="rId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with an incorporated city or county meeting the population criteria in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will be allowed to submit only one application per application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the capacity for administering a grant.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the feasibility of the project’s proposed scope and timeline with the funds requested.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identify and describe other sources of funding for the proposed assessment and related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identify any partner organizations that will be utilized in interpreting and implementing the data collected through the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a cash match of at least 50 cents for every dollar awarded as a grant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All completed applications will be reviewed and scored. Each application will be scored using criteria set forth by the authority,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readiness and partnerships. The application should demonstrate that the applicant is actively addressing housing needs and has identified diverse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Project goals and timeline. The application should demonstrate clearly defined, measurable goals and a timeline for execution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 budget and financing. The application should include a complete budget that provides clear justification for all costs. The application should also demonstrate secured financing and that the cash match requirement has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points. Extra consideration is provided to applications that have projects supporting housing initiatives endorsed by the Iowa great places citizens advisory board, as well as those located in a community with a population of 10,000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Funding decisions will be made using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 xml:space="preserve">Each application will be reviewed by staff for eligibility and completeness. Complete applications meeting all eligibility requirements will be sent to a grant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 committee review and recommendation. </w:t>
      </w:r>
      <w:r>
        <w:rPr>
          <w:rFonts w:ascii="Times New Roman" w:hAnsi="Times New Roman"/>
          <w:b w:val="false"/>
          <w:i w:val="false"/>
          <w:color w:val="000000"/>
          <w:sz w:val="22"/>
        </w:rPr>
        <w:t xml:space="preserve">Following staff review, a grant committee will review and score applications using the criteria in subrule </w:t>
      </w:r>
      <w:hyperlink r:id="rId9">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 xml:space="preserve"> and will make funding recommendations. The committee may utilize an outside technical panel if the committee determines additional expertise is necessary to review and score the application. The application and score will be referred to the director with a recommendation as to whether to fund the project and, if funding is recommended, a recommendation as to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Director’s decision. </w:t>
      </w:r>
      <w:r>
        <w:rPr>
          <w:rFonts w:ascii="Times New Roman" w:hAnsi="Times New Roman"/>
          <w:b w:val="false"/>
          <w:i w:val="false"/>
          <w:color w:val="000000"/>
          <w:sz w:val="22"/>
        </w:rPr>
        <w:t>The director will make the final funding decision on each application, taking into consideration the amount of available funding and the grant committee’s recommendation. The director may approve, deny, or defer funding for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applicant will be notified in writing of the funding decision within 15 days of the director’s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5092C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5693C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6319C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261—28.5</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Agreement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for the provision of such financial assistance. The agreement will establish the terms on which the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val="false"/>
          <w:color w:val="000000"/>
          <w:sz w:val="22"/>
        </w:rPr>
        <w:t>The authority and the applicant may amend the agreement at any time upon the mutual agreement of both the authority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w:t>
      </w:r>
      <w:r>
        <w:rPr>
          <w:rFonts w:ascii="Times New Roman" w:hAnsi="Times New Roman"/>
          <w:b w:val="false"/>
          <w:i w:val="false"/>
          <w:color w:val="000000"/>
          <w:sz w:val="22"/>
        </w:rPr>
        <w:t> </w:t>
      </w:r>
      <w:r>
        <w:rPr>
          <w:rFonts w:ascii="Times New Roman" w:hAnsi="Times New Roman"/>
          <w:b w:val="false"/>
          <w:i w:val="false"/>
          <w:color w:val="000000"/>
          <w:sz w:val="22"/>
        </w:rPr>
        <w:t>The agreement may require an applicant that has been approved for financial assistance under the program to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5092C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2019 Iowa Acts, Senate File 608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5092C</w:t>
      </w:r>
      <w:r>
        <w:rPr>
          <w:rFonts w:ascii="Times New Roman" w:hAnsi="Times New Roman"/>
          <w:b w:val="false"/>
          <w:i w:val="false"/>
          <w:color w:val="000000"/>
          <w:sz w:val="21"/>
        </w:rPr>
        <w:t xml:space="preserve"> (Notice ARC 4774C, IAB 11/20/19)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5693C</w:t>
      </w:r>
      <w:r>
        <w:rPr>
          <w:rFonts w:ascii="Times New Roman" w:hAnsi="Times New Roman"/>
          <w:b w:val="false"/>
          <w:i w:val="false"/>
          <w:color w:val="000000"/>
          <w:sz w:val="21"/>
        </w:rPr>
        <w:t xml:space="preserve"> (Notice ARC 5535C,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6892C</w:t>
      </w:r>
      <w:r>
        <w:rPr>
          <w:rFonts w:ascii="Times New Roman" w:hAnsi="Times New Roman"/>
          <w:b w:val="false"/>
          <w:i w:val="false"/>
          <w:color w:val="000000"/>
          <w:sz w:val="21"/>
        </w:rPr>
        <w:t xml:space="preserve"> (Notice ARC 6737C, IAB 12/14/22)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ac/rule/261.28.2.pdf" Type="http://schemas.openxmlformats.org/officeDocument/2006/relationships/hyperlink" Id="rId7"/>
    <Relationship TargetMode="External" Target="https://www.legis.iowa.gov/docs/ico/chapter/28E.pdf" Type="http://schemas.openxmlformats.org/officeDocument/2006/relationships/hyperlink" Id="rId8"/>
    <Relationship TargetMode="External" Target="https://www.legis.iowa.gov/docs/iac/rule/261.28.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