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199</w:t>
      </w:r>
    </w:p>
    <w:p>
      <w:pPr>
        <w:spacing w:before="0" w:after="0"/>
        <w:ind w:left="120"/>
        <w:jc w:val="center"/>
      </w:pPr>
      <w:r>
        <w:rPr>
          <w:rFonts w:ascii="Times New Roman" w:hAnsi="Times New Roman"/>
          <w:b w:val="false"/>
          <w:i w:val="false"/>
          <w:color w:val="000000"/>
          <w:sz w:val="21"/>
        </w:rPr>
        <w:t>UNIFORM WAIVER RULES</w:t>
      </w:r>
    </w:p>
    <w:p>
      <w:pPr>
        <w:spacing w:before="0" w:after="0"/>
        <w:ind w:left="120"/>
        <w:jc w:val="center"/>
      </w:pPr>
      <w:r>
        <w:rPr>
          <w:rFonts w:ascii="Times New Roman" w:hAnsi="Times New Roman"/>
          <w:b w:val="false"/>
          <w:i w:val="false"/>
          <w:color w:val="000000"/>
          <w:sz w:val="14"/>
        </w:rPr>
        <w:t>[Prior to 9/6/00, see 261—Ch 104]</w:t>
      </w:r>
    </w:p>
    <w:p>
      <w:pPr>
        <w:spacing w:before="0" w:after="0"/>
        <w:ind w:left="120"/>
        <w:jc w:val="center"/>
      </w:pPr>
      <w:r>
        <w:rPr>
          <w:rFonts w:ascii="Times New Roman" w:hAnsi="Times New Roman"/>
          <w:b w:val="false"/>
          <w:i w:val="false"/>
          <w:color w:val="000000"/>
          <w:sz w:val="14"/>
        </w:rPr>
        <w:t>[Prior to 7/4/07, see 261—Ch 173]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261—199.1</w:t>
      </w:r>
      <w:r>
        <w:rPr>
          <w:rFonts w:ascii="Times New Roman" w:hAnsi="Times New Roman"/>
          <w:b/>
          <w:i w:val="false"/>
          <w:color w:val="000000"/>
          <w:sz w:val="22"/>
        </w:rPr>
        <w:t xml:space="preserve">(17A,15)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authority. The intent of this chapter is to allow persons to seek exceptions to the application of rules issued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board appointed by the governor and in whom the powers of the authority are vested pursuant to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“Director/board” </w:t>
      </w:r>
      <w:r>
        <w:rPr>
          <w:rFonts w:ascii="Times New Roman" w:hAnsi="Times New Roman"/>
          <w:b w:val="false"/>
          <w:i w:val="false"/>
          <w:color w:val="000000"/>
          <w:sz w:val="22"/>
        </w:rPr>
        <w:t>means either the director or the board depending on which one has decision-making authority pursuant to rule 261—199.2(17A,15).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authority may be granted in accordance with this chapter if (1) the authority has exclusive rule-making authority to promulgate the rule from which waiver is requested or has final decision-making authority over a contested case in which a waiver is requested; and (2) no statute or rule otherwise controls the grant of a waiver from the rule from which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261—199.2</w:t>
      </w:r>
      <w:r>
        <w:rPr>
          <w:rFonts w:ascii="Times New Roman" w:hAnsi="Times New Roman"/>
          <w:b/>
          <w:i w:val="false"/>
          <w:color w:val="000000"/>
          <w:sz w:val="22"/>
        </w:rPr>
        <w:t xml:space="preserve">(17A,15) </w:t>
      </w:r>
      <w:r>
        <w:rPr>
          <w:rFonts w:ascii="Times New Roman" w:hAnsi="Times New Roman"/>
          <w:b/>
          <w:i w:val="false"/>
          <w:color w:val="000000"/>
          <w:sz w:val="22"/>
        </w:rPr>
        <w:t xml:space="preserve">Director/board discretion. </w:t>
      </w:r>
      <w:r>
        <w:rPr>
          <w:rFonts w:ascii="Times New Roman" w:hAnsi="Times New Roman"/>
          <w:b w:val="false"/>
          <w:i w:val="false"/>
          <w:color w:val="000000"/>
          <w:sz w:val="22"/>
        </w:rPr>
        <w:t>The decision on whether the circumstances justify the granting of a waiver shall be made at the discretion of the director upon consideration of all relevant factors. The director may refer a petition for waiver to the board for decision. In the case of petition referred to the board by the director, the board shall make the decision on whether the circumstances justify the granting of a waiver,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The director/board may, in response to a completed petition, grant a waiver from a rule, in whole or in part, as applied to the circumstances of a specified situation if the director/board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to the person at issue would result in undue hardship to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on the basis of the particular circumstances relative to that specified person would be consistent with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Waiver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waiver should be granted, the director/board shall consider whether the underlying public interest policies and legislative intent of the rules are substantially equivalent to full compliance with the rule. When the rule from which a waiver is sought establishes administrative deadlines, the director/board shall balance the special individual circumstances of the petitioner with the overall goal of uniform treatment of all licensees, grantees and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These uniform waiver rules shall not preclude the director/board from granting waivers in other contexts or on the basis of other standards if a statute or other rule authorizes the director/board to do so, and the director/board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261—199.3</w:t>
      </w:r>
      <w:r>
        <w:rPr>
          <w:rFonts w:ascii="Times New Roman" w:hAnsi="Times New Roman"/>
          <w:b/>
          <w:i w:val="false"/>
          <w:color w:val="000000"/>
          <w:sz w:val="22"/>
        </w:rPr>
        <w:t xml:space="preserve">(17A,15) </w:t>
      </w:r>
      <w:r>
        <w:rPr>
          <w:rFonts w:ascii="Times New Roman" w:hAnsi="Times New Roman"/>
          <w:b/>
          <w:i w:val="false"/>
          <w:color w:val="000000"/>
          <w:sz w:val="22"/>
        </w:rPr>
        <w:t xml:space="preserve">Requester’s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All petitions for waiver must be submitted in writing to the Iowa Economic Development Authority, Office of the Director, 1963 Bell Avenue, Suite 200, Des Moines, Iowa 50315, Attention: Legal Counsel. Petitions for waiver may be delivered, mailed, or sent by email or other electronic means reasonably calculated to reach the intended recipient.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authority and the petitioner relating to the regulated activity, license, grant, loan or other financial assistance affected by the proposed waiver, including a description of each affected license, grant, loan or other financial assistance held by the requester, any notices of violation, contested case hearings, or investigative reports relating to the regulated activity, license, grant or loan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authority’s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who would be adversely affected by the grant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authority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rule, the burden of persuasion shall be on the petitioner to demonstrate by clear and convincing evidence that the director/board should exercise its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261—199.4</w:t>
      </w:r>
      <w:r>
        <w:rPr>
          <w:rFonts w:ascii="Times New Roman" w:hAnsi="Times New Roman"/>
          <w:b/>
          <w:i w:val="false"/>
          <w:color w:val="000000"/>
          <w:sz w:val="22"/>
        </w:rPr>
        <w:t xml:space="preserve">(17A,15) </w:t>
      </w:r>
      <w:r>
        <w:rPr>
          <w:rFonts w:ascii="Times New Roman" w:hAnsi="Times New Roman"/>
          <w:b/>
          <w:i w:val="false"/>
          <w:color w:val="000000"/>
          <w:sz w:val="22"/>
        </w:rPr>
        <w:t xml:space="preserve">Notice. </w:t>
      </w:r>
      <w:r>
        <w:rPr>
          <w:rFonts w:ascii="Times New Roman" w:hAnsi="Times New Roman"/>
          <w:b w:val="false"/>
          <w:i w:val="false"/>
          <w:color w:val="000000"/>
          <w:sz w:val="22"/>
        </w:rPr>
        <w:t>The authority shall acknowledge a petition upon receipt. The authority shall ensure that notice of the pendency of the petition and a concise summary of its contents have been provided to all persons to whom notice is required by any provision of law, within 30 days of the receipt of the petition. In addition, the authority may give notice to other persons. To accomplish this notice provision, the authority may require the petitioner to serve the notice on all persons to whom notice is required by any provision of law or who may be impacted by the requested waiver, and provide a written statement to the authority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261—199.5</w:t>
      </w:r>
      <w:r>
        <w:rPr>
          <w:rFonts w:ascii="Times New Roman" w:hAnsi="Times New Roman"/>
          <w:b/>
          <w:i w:val="false"/>
          <w:color w:val="000000"/>
          <w:sz w:val="22"/>
        </w:rPr>
        <w:t xml:space="preserve">(17A,15) </w:t>
      </w:r>
      <w:r>
        <w:rPr>
          <w:rFonts w:ascii="Times New Roman" w:hAnsi="Times New Roman"/>
          <w:b/>
          <w:i w:val="false"/>
          <w:color w:val="000000"/>
          <w:sz w:val="22"/>
        </w:rPr>
        <w:t xml:space="preserve">Authority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director/board may request additional information from the petitioner relative to the petition and surrounding circumstances. If the petition was not filed in a contested case, the director/board may, on its own motion or at the petitioner’s request, schedule a telephonic or in-person meeting between the petitioner and the director/board, the director’s/board’s designee, a committee of the board, or a quorum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(a) to any petition for a waiver of rule filed within a contested case; (b) when the director/board so provides by rule or order; or (c)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director/board may condition the grant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199.5(5)</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director/board shall grant or deny a petition for a waiver as soon as practicable, but in any event, shall do so within 120 days of its receipt, unless the petitioner agrees to a later date. However, if a petition is filed in a contested case, the director/board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199.5(6)</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director/board to grant or deny a petition within the required time period shall be deemed a denial of that petition by the director/board.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199.5(7)</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261—199.6</w:t>
      </w:r>
      <w:r>
        <w:rPr>
          <w:rFonts w:ascii="Times New Roman" w:hAnsi="Times New Roman"/>
          <w:b/>
          <w:i w:val="false"/>
          <w:color w:val="000000"/>
          <w:sz w:val="22"/>
        </w:rPr>
        <w:t xml:space="preserve">(17A,15)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authority shall make a submission on the Internet site established pursuant to Iowa Code section </w:t>
      </w:r>
      <w:hyperlink r:id="rId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authority’s actions on waiver requests. If practicable, the report shall detail the extent to which granting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261—199.7</w:t>
      </w:r>
      <w:r>
        <w:rPr>
          <w:rFonts w:ascii="Times New Roman" w:hAnsi="Times New Roman"/>
          <w:b/>
          <w:i w:val="false"/>
          <w:color w:val="000000"/>
          <w:sz w:val="22"/>
        </w:rPr>
        <w:t xml:space="preserve">(17A,15)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director/board may at any time cancel a waiver upon appropriate notice if the director/board finds that the facts as stated in the request are not true, material facts have been withheld, the alternative means of compliance provided in the waiver have failed to achieve the objectives of the statute, or the requester has failed to comply with the conditions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261—199.8</w:t>
      </w:r>
      <w:r>
        <w:rPr>
          <w:rFonts w:ascii="Times New Roman" w:hAnsi="Times New Roman"/>
          <w:b/>
          <w:i w:val="false"/>
          <w:color w:val="000000"/>
          <w:sz w:val="22"/>
        </w:rPr>
        <w:t xml:space="preserve">(17A,15)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261—199.9</w:t>
      </w:r>
      <w:r>
        <w:rPr>
          <w:rFonts w:ascii="Times New Roman" w:hAnsi="Times New Roman"/>
          <w:b/>
          <w:i w:val="false"/>
          <w:color w:val="000000"/>
          <w:sz w:val="22"/>
        </w:rPr>
        <w:t xml:space="preserve">(17A,15)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director/board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261—199.10</w:t>
      </w:r>
      <w:r>
        <w:rPr>
          <w:rFonts w:ascii="Times New Roman" w:hAnsi="Times New Roman"/>
          <w:b/>
          <w:i w:val="false"/>
          <w:color w:val="000000"/>
          <w:sz w:val="22"/>
        </w:rPr>
        <w:t xml:space="preserve">(17A,15)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 appeal to district court shall be taken within 30 days of the issuance of the ruling in response to the request unless a contrary time is provided by rule or statute.</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BEFORE THE IOWA ECONOMIC DEVELOPMENT AUTHORITY </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(insert name of petitioner) 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Requests for waiver from an authority rule shall 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petitioner’s (person asking for a waiver)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specific waiver requested; include the exact scope and time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important facts that the petitioner believes justify a waiver. Include in your answer why (1) applying the rule will result in undue hardship or injustice to the petitioner; and (2) granting a waiver to the petitioner is consistent with the public interest; and (3) granting the waiver will not prejudice the substantial legal rights of any person; and (4)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history of prior contacts between the authority and petitioner relating to the regulated activity, license, grant, loan or other financial assistance that would be affected by the waiver; include a description of each affected license, grant, loan or other financial assistance held by the petitioner, any notices of violation, contested case hearings, or investigative reports relating to the regulated activity, license, grant or loan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information known to the petitioner regarding the authority’s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or entity who would be adversely affected or disadvantaged by the grant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signed releases of information authorizing persons with knowledge regarding the request to furnish the authority with information relevant to the waiver.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by clear and convincing evidence, the following to the director/board: (a) application of the rule to the petitioner would result in undue hardship or injustice to the petitioner; and (b) waiver on the basis of the particular circumstances relative to the petitioner would be consistent with the public interest; and (c) waiver in the specific case would not prejudice the substantial legal rights of any person; and (d)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authority may request additional information from or request an informal meeting with the petitioner prior to issuing a ruling granting or denying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petitions for waiver must be submitted in writing to the Iowa Economic Development Authority, Office of the Director, 1963 Bell Avenue, Suite 200, Des Moines, Iowa 50315, Attention: Legal Counsel. If the petition relates to a pending contested case, a copy of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5692C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chapter 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6/23/00, Notice 1/12/00—published 7/12/00, effective 8/16/00]</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5692C</w:t>
      </w:r>
      <w:r>
        <w:rPr>
          <w:rFonts w:ascii="Times New Roman" w:hAnsi="Times New Roman"/>
          <w:b w:val="false"/>
          <w:i w:val="false"/>
          <w:color w:val="000000"/>
          <w:sz w:val="21"/>
        </w:rPr>
        <w:t xml:space="preserve"> (Notice ARC 5438C, IAB 2/24/21)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