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197</w:t>
      </w:r>
    </w:p>
    <w:p>
      <w:pPr>
        <w:spacing w:before="0" w:after="0"/>
        <w:ind w:left="120"/>
        <w:jc w:val="center"/>
      </w:pPr>
      <w:r>
        <w:rPr>
          <w:rFonts w:ascii="Times New Roman" w:hAnsi="Times New Roman"/>
          <w:b w:val="false"/>
          <w:i w:val="false"/>
          <w:color w:val="000000"/>
          <w:sz w:val="21"/>
        </w:rPr>
        <w:t>PETITION FOR RULE MAKING</w:t>
      </w:r>
    </w:p>
    <w:p>
      <w:pPr>
        <w:spacing w:before="0" w:after="0"/>
        <w:ind w:left="120"/>
        <w:jc w:val="center"/>
      </w:pPr>
      <w:r>
        <w:rPr>
          <w:rFonts w:ascii="Times New Roman" w:hAnsi="Times New Roman"/>
          <w:b w:val="false"/>
          <w:i w:val="false"/>
          <w:color w:val="000000"/>
          <w:sz w:val="14"/>
        </w:rPr>
        <w:t>[Prior to 7/19/95, see 261—Ch 2]</w:t>
      </w:r>
    </w:p>
    <w:p>
      <w:pPr>
        <w:spacing w:before="0" w:after="0"/>
        <w:ind w:left="120"/>
        <w:jc w:val="center"/>
      </w:pPr>
      <w:r>
        <w:rPr>
          <w:rFonts w:ascii="Times New Roman" w:hAnsi="Times New Roman"/>
          <w:b w:val="false"/>
          <w:i w:val="false"/>
          <w:color w:val="000000"/>
          <w:sz w:val="14"/>
        </w:rPr>
        <w:t>[Prior to 9/6/00, see 261—Ch 102]</w:t>
      </w:r>
    </w:p>
    <w:p>
      <w:pPr>
        <w:spacing w:before="0" w:after="0"/>
        <w:ind w:left="120"/>
        <w:jc w:val="center"/>
      </w:pPr>
      <w:r>
        <w:rPr>
          <w:rFonts w:ascii="Times New Roman" w:hAnsi="Times New Roman"/>
          <w:b w:val="false"/>
          <w:i w:val="false"/>
          <w:color w:val="000000"/>
          <w:sz w:val="14"/>
        </w:rPr>
        <w:t>[Prior to 7/4/07, see 261—Ch 171]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261—197.1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state agency may file a petition for rule making with the authority at the Director’s Office, Iowa Economic Development Authority, 1963 Bell Avenue, Suite 200, Des Moines, Iowa 50315, Attn: Legal Counsel. Petitions for rule making may be delivered, mailed, or sent by email or other electronic means reasonably calculated to reach the intended recipient. A petition is deemed filed when it is received by the authority. The authority must provide the petitioner with a file-stamped copy of the petition if the petitioner provides the authority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ECONOMIC DEVELOPMENT AUTHORITY</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w:t>
            </w:r>
          </w:p>
          <w:p>
            <w:pPr>
              <w:spacing w:before="0" w:after="0"/>
              <w:ind w:left="160"/>
              <w:jc w:val="left"/>
            </w:pPr>
            <w:r>
              <w:rPr>
                <w:rFonts w:ascii="Times New Roman" w:hAnsi="Times New Roman"/>
                <w:b w:val="false"/>
                <w:i w:val="false"/>
                <w:color w:val="000000"/>
                <w:sz w:val="16"/>
              </w:rPr>
              <w:t>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subrule 197.4(1)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197.1(2)</w:t>
      </w:r>
      <w:r>
        <w:rPr>
          <w:rFonts w:ascii="Times New Roman" w:hAnsi="Times New Roman"/>
          <w:b w:val="false"/>
          <w:i w:val="false"/>
          <w:color w:val="000000"/>
          <w:sz w:val="22"/>
        </w:rPr>
        <w:t> </w:t>
      </w:r>
      <w:r>
        <w:rPr>
          <w:rFonts w:ascii="Times New Roman" w:hAnsi="Times New Roman"/>
          <w:b w:val="false"/>
          <w:i w:val="false"/>
          <w:color w:val="000000"/>
          <w:sz w:val="22"/>
        </w:rPr>
        <w:t>The authority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261—197.2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authority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261—197.3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address indicated in rule 261—197.1(17A).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261—197.4</w:t>
      </w:r>
      <w:r>
        <w:rPr>
          <w:rFonts w:ascii="Times New Roman" w:hAnsi="Times New Roman"/>
          <w:b/>
          <w:i w:val="false"/>
          <w:color w:val="000000"/>
          <w:sz w:val="22"/>
        </w:rPr>
        <w:t xml:space="preserve">(17A) </w:t>
      </w:r>
      <w:r>
        <w:rPr>
          <w:rFonts w:ascii="Times New Roman" w:hAnsi="Times New Roman"/>
          <w:b/>
          <w:i w:val="false"/>
          <w:color w:val="000000"/>
          <w:sz w:val="22"/>
        </w:rPr>
        <w:t xml:space="preserve">Authority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197.4(1)</w:t>
      </w:r>
      <w:r>
        <w:rPr>
          <w:rFonts w:ascii="Times New Roman" w:hAnsi="Times New Roman"/>
          <w:b w:val="false"/>
          <w:i w:val="false"/>
          <w:color w:val="000000"/>
          <w:sz w:val="22"/>
        </w:rPr>
        <w:t> </w:t>
      </w:r>
      <w:r>
        <w:rPr>
          <w:rFonts w:ascii="Times New Roman" w:hAnsi="Times New Roman"/>
          <w:b w:val="false"/>
          <w:i/>
          <w:color w:val="000000"/>
          <w:sz w:val="22"/>
        </w:rPr>
        <w:t xml:space="preserve">Meeting. </w:t>
      </w:r>
      <w:r>
        <w:rPr>
          <w:rFonts w:ascii="Times New Roman" w:hAnsi="Times New Roman"/>
          <w:b w:val="false"/>
          <w:i w:val="false"/>
          <w:color w:val="000000"/>
          <w:sz w:val="22"/>
        </w:rPr>
        <w:t>Upon request by the petitioner in the petition, the authority shall schedule a brief and informal meeting between the petitioner and authority staff to discuss the petition. The authority may request the petitioner to submit additional information or argument concerning the petition. The authority may also solicit comments from any person on the substance of the petition. Also, comments on the substance of the petition may be submitted to the authority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197.4(2)</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r>
        <w:rPr>
          <w:rFonts w:ascii="Times New Roman" w:hAnsi="Times New Roman"/>
          <w:b w:val="false"/>
          <w:i w:val="false"/>
          <w:color w:val="000000"/>
          <w:sz w:val="22"/>
        </w:rPr>
        <w:t>Within 60 days after the filing of the petition, or within any longer period agreed to by the petitioner, the authority shall,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authority mails or delivers the required notification to petitioner. The authority shall submit the petition and the disposition of the petition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197.4(3)</w:t>
      </w:r>
      <w:r>
        <w:rPr>
          <w:rFonts w:ascii="Times New Roman" w:hAnsi="Times New Roman"/>
          <w:b w:val="false"/>
          <w:i w:val="false"/>
          <w:color w:val="000000"/>
          <w:sz w:val="22"/>
        </w:rPr>
        <w:t> </w:t>
      </w:r>
      <w:r>
        <w:rPr>
          <w:rFonts w:ascii="Times New Roman" w:hAnsi="Times New Roman"/>
          <w:b w:val="false"/>
          <w:i/>
          <w:color w:val="000000"/>
          <w:sz w:val="22"/>
        </w:rPr>
        <w:t xml:space="preserve">Denial of petition for nonconformance with form.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5691C</w:t>
      </w:r>
      <w:r>
        <w:rPr>
          <w:rFonts w:ascii="Times New Roman" w:hAnsi="Times New Roman"/>
          <w:b w:val="false"/>
          <w:i w:val="false"/>
          <w:color w:val="000000"/>
          <w:sz w:val="21"/>
        </w:rPr>
        <w:t xml:space="preserve"> (Notice ARC 5536C, IAB 3/24/21)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197.4.pdf" Type="http://schemas.openxmlformats.org/officeDocument/2006/relationships/hyperlink" Id="rId5"/>
    <Relationship TargetMode="External" Target="https://www.legis.iowa.gov/docs/ico/chapter/17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