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[Prior to 10/8/86, see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5/8/29</w:t>
      </w:r>
    </w:p>
    <w:p>
      <w:pPr>
        <w:spacing w:before="0" w:after="0"/>
        <w:ind w:left="120"/>
        <w:jc w:val="both"/>
      </w:pPr>
      <w:r>
        <w:rPr>
          <w:rFonts w:ascii="Times New Roman" w:hAnsi="Times New Roman"/>
          <w:b/>
          <w:i w:val="false"/>
          <w:color w:val="000000"/>
          <w:sz w:val="22"/>
        </w:rPr>
        <w:t>199—4.1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 xml:space="preserve">Any person may file a petition with the Iowa utilities commission for a declaratory order as to the applicability to specified circumstances of a statute, rule, or order within the primary jurisdiction of the commission. The petition shall conform with this chapter and with Iowa Code section </w:t>
      </w:r>
      <w:hyperlink r:id="rId5">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 petition shall be dated and signed by the petitioner, include the petitioner’s appropriate contact information, and include all of the following information (a sample form of a petition for a declaratory order is available on the commission’s website at </w:t>
      </w:r>
      <w:hyperlink r:id="rId6">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val="false"/>
          <w:color w:val="000000"/>
          <w:sz w:val="22"/>
        </w:rPr>
        <w:t>The question or questions that petitioner wishes the board to determine, stated clearly and concisely;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val="false"/>
          <w:color w:val="000000"/>
          <w:sz w:val="22"/>
        </w:rPr>
        <w:t>A clear and concise statement of all relevant facts on which the ruling is requested, including the petitioner’s interest in the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val="false"/>
          <w:color w:val="000000"/>
          <w:sz w:val="22"/>
        </w:rPr>
        <w:t>A citation to and the relevant language of the statutes, rules, policies, decisions, or orders that are applicable or whose applicability is in question and any other relevant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val="false"/>
          <w:color w:val="000000"/>
          <w:sz w:val="22"/>
        </w:rPr>
        <w:t>The petitioner’s proposed answers to the questions raised and a summary of the reasons urged by the petitioner in support of those answers, including a statement of the legal support for the petitioner’s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the petitioner to be affected by or interested in the questions presented in the petition;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indicating whether the petitioner requests a meeting as provided for by rule </w:t>
      </w:r>
      <w:hyperlink r:id="rId7">
        <w:r>
          <w:rPr>
            <w:rStyle w:val="Hyperlink"/>
            <w:rFonts w:ascii="Times New Roman" w:hAnsi="Times New Roman"/>
            <w:b w:val="false"/>
            <w:i w:val="false"/>
            <w:color w:val="000000"/>
            <w:sz w:val="22"/>
          </w:rPr>
          <w:t>199—4.5(17A)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7749C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r>
        <w:rPr>
          <w:rFonts w:ascii="Times New Roman" w:hAnsi="Times New Roman"/>
          <w:b w:val="false"/>
          <w:i w:val="false"/>
          <w:color w:val="000000"/>
          <w:sz w:val="22"/>
        </w:rPr>
        <w:t xml:space="preserve">A person having an interest in the subject matter of a petition for a declaratory order may file with the commission a petition for intervention pursuant to the “Intervention” rule contained in </w:t>
      </w:r>
      <w:hyperlink r:id="rId8">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within 20 days of the filing of a petition for a declaratory order. The commission may at its discretion entertain a late-filed petition for intervention. A petition for intervention in a proceeding on a petition for declaratory order shall be dated, be signed by the prospective intervenor with that person’s appropriate contact information, include the information set forth in the “Intervention” rule contained in </w:t>
      </w:r>
      <w:hyperlink r:id="rId9">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and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val="false"/>
          <w:color w:val="000000"/>
          <w:sz w:val="22"/>
        </w:rPr>
        <w:t>The answers urged by the intervenor to the question or questions presented and a summary of the reasons urged in support of those answers, including a statement of the legal support for the intervenor’s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intervenor is currently a party to another proceeding involving the questions at issue and whether, to the intervenor’s knowledge, those questions have been decided by, are pending determination by, or are under investigation by any government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the intervenor to be affected by or interested in the questions presented in the petition;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7749C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199—4.3</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that party’s position, and the commission may order additional briefing.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7749C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w:t>
      </w:r>
      <w:r>
        <w:rPr>
          <w:rFonts w:ascii="Times New Roman" w:hAnsi="Times New Roman"/>
          <w:b w:val="false"/>
          <w:i w:val="false"/>
          <w:color w:val="000000"/>
          <w:sz w:val="22"/>
        </w:rPr>
        <w:t xml:space="preserve">At the same time a petition for a declaratory order is filed, the petitioner shall serve the petition, in accordance with the “Service of documents” subrule in </w:t>
      </w:r>
      <w:hyperlink r:id="rId10">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and the “Electronic service” rule in </w:t>
      </w:r>
      <w:hyperlink r:id="rId11">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upon any person who, based upon a reasonable investigation, would be a necessary party to the proceeding under applicable substantive law. The petitioner is to file with the commission a list of all persons 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7749C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meeting. </w:t>
      </w:r>
      <w:r>
        <w:rPr>
          <w:rFonts w:ascii="Times New Roman" w:hAnsi="Times New Roman"/>
          <w:b w:val="false"/>
          <w:i w:val="false"/>
          <w:color w:val="000000"/>
          <w:sz w:val="22"/>
        </w:rPr>
        <w:t>Upon request by petitioner, the commission will schedule an informal meeting between the petitioner, all intervenors, and the commission, a member of the commission, or a designated member of the staff of the commission to discuss the questions identified in the petition. The commission may solicit comments from any person on the questions raised.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7749C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199—4.6</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commission will not issue a declaratory order that would substantially prejudice the rights of a person who would be a necessary party and who does not consent in writing to determination of the matter in a declaratory order proceeding. The commission may refuse to issue a declaratory order on some or all of the questions raised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that the commission determines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commission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Content and effect of refusal.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commission’s refusal to issue a declaratory order will include a statement of the specific grounds for the refusal and constitutes final commission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rule does not preclude the filing of a new petition that seeks to remedy the grounds for the refusal to issue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7749C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199—4.7</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issuance of a declaratory order constitutes final agency action on the petition. A declaratory order is binding on the commission, on the petitioner, on any intervenors who consent to be bound, and on any persons who would be necessary parties, who are served pursuant to rule </w:t>
      </w:r>
      <w:hyperlink r:id="rId12">
        <w:r>
          <w:rPr>
            <w:rStyle w:val="Hyperlink"/>
            <w:rFonts w:ascii="Times New Roman" w:hAnsi="Times New Roman"/>
            <w:b w:val="false"/>
            <w:i w:val="false"/>
            <w:color w:val="000000"/>
            <w:sz w:val="22"/>
          </w:rPr>
          <w:t>199—4.4(17A)</w:t>
        </w:r>
      </w:hyperlink>
      <w:r>
        <w:rPr>
          <w:rFonts w:ascii="Times New Roman" w:hAnsi="Times New Roman"/>
          <w:b w:val="false"/>
          <w:i w:val="false"/>
          <w:color w:val="000000"/>
          <w:sz w:val="22"/>
        </w:rPr>
        <w:t>, and who consent to be bound, in cases in which the relevant facts and the law involved are substantially indistinguishable from those on which the order was based. As to all other persons, a declaratory order serves only as precedent and is not binding on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val="false"/>
          <w:color w:val="000000"/>
          <w:sz w:val="22"/>
        </w:rPr>
        <w:t>A declaratory order is effective upon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7749C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hyperlink r:id="rId14">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2/11/76, Notice 7/14/75—published 2/23/76, effective 3/29/76]</w:t>
      </w:r>
    </w:p>
    <w:p>
      <w:pPr>
        <w:spacing w:before="0" w:after="0"/>
        <w:ind w:left="120"/>
        <w:jc w:val="center"/>
      </w:pPr>
      <w:r>
        <w:rPr>
          <w:rFonts w:ascii="Times New Roman" w:hAnsi="Times New Roman"/>
          <w:b w:val="false"/>
          <w:i w:val="false"/>
          <w:color w:val="000000"/>
          <w:sz w:val="21"/>
        </w:rPr>
        <w:t>[Filed 11/16/84, Notice 9/12/84—published 12/5/84, effective 1/16/85]</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3/3/89, Notice 8/24/88—published 3/22/89, effective 4/26/89]</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9/3/99, Notice 5/19/99—published 9/22/99, effective 10/27/99]</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3645C</w:t>
      </w:r>
      <w:r>
        <w:rPr>
          <w:rFonts w:ascii="Times New Roman" w:hAnsi="Times New Roman"/>
          <w:b w:val="false"/>
          <w:i w:val="false"/>
          <w:color w:val="000000"/>
          <w:sz w:val="21"/>
        </w:rPr>
        <w:t xml:space="preserve"> (Notice ARC 3418C, IAB 10/25/17)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7749C</w:t>
      </w:r>
      <w:r>
        <w:rPr>
          <w:rFonts w:ascii="Times New Roman" w:hAnsi="Times New Roman"/>
          <w:b w:val="false"/>
          <w:i w:val="false"/>
          <w:color w:val="000000"/>
          <w:sz w:val="21"/>
        </w:rPr>
        <w:t xml:space="preserve"> (Notice ARC 7578C, IAB 2/7/24)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pdf" Type="http://schemas.openxmlformats.org/officeDocument/2006/relationships/hyperlink" Id="rId5"/>
    <Relationship TargetMode="External" Target="http://iuc.iowa.gov" Type="http://schemas.openxmlformats.org/officeDocument/2006/relationships/hyperlink" Id="rId6"/>
    <Relationship TargetMode="External" Target="https://www.legis.iowa.gov/docs/iac/rule/199.4.5.pdf" Type="http://schemas.openxmlformats.org/officeDocument/2006/relationships/hyperlink" Id="rId7"/>
    <Relationship TargetMode="External" Target="https://www.legis.iowa.gov/docs/iac/chapter/199.7.pdf" Type="http://schemas.openxmlformats.org/officeDocument/2006/relationships/hyperlink" Id="rId8"/>
    <Relationship TargetMode="External" Target="https://www.legis.iowa.gov/docs/iac/chapter/199.7.pdf" Type="http://schemas.openxmlformats.org/officeDocument/2006/relationships/hyperlink" Id="rId9"/>
    <Relationship TargetMode="External" Target="https://www.legis.iowa.gov/docs/iac/chapter/199.7.pdf" Type="http://schemas.openxmlformats.org/officeDocument/2006/relationships/hyperlink" Id="rId10"/>
    <Relationship TargetMode="External" Target="https://www.legis.iowa.gov/docs/iac/chapter/199.14.pdf" Type="http://schemas.openxmlformats.org/officeDocument/2006/relationships/hyperlink" Id="rId11"/>
    <Relationship TargetMode="External" Target="https://www.legis.iowa.gov/docs/iac/rule/199.4.4.pdf" Type="http://schemas.openxmlformats.org/officeDocument/2006/relationships/hyperlink" Id="rId12"/>
    <Relationship TargetMode="External" Target="https://www.legis.iowa.gov/docs/ico/chapter/17A.3.pdf" Type="http://schemas.openxmlformats.org/officeDocument/2006/relationships/hyperlink" Id="rId13"/>
    <Relationship TargetMode="External" Target="https://www.legis.iowa.gov/docs/ico/chapter/17A.9.pdf" Type="http://schemas.openxmlformats.org/officeDocument/2006/relationships/hyperlink" Id="rId14"/>
    <Relationship TargetMode="External" Target="https://www.legis.iowa.gov/docs/ico/chapter/476.2.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