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UNIVERSAL SERVICE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199—39.1</w:t>
      </w:r>
      <w:r>
        <w:rPr>
          <w:rFonts w:ascii="Times New Roman" w:hAnsi="Times New Roman"/>
          <w:b/>
          <w:i w:val="false"/>
          <w:color w:val="000000"/>
          <w:sz w:val="22"/>
        </w:rPr>
        <w:t xml:space="preserve">(476)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These rules relate to the commission’s designation of telecommunications carriers as eligible to receive support from the federal universal service fund and are prescribed by the commission pursuant to Iowa Code sections </w:t>
      </w:r>
      <w:hyperlink r:id="rId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476.15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476.102</w:t>
        </w:r>
      </w:hyperlink>
      <w:r>
        <w:rPr>
          <w:rFonts w:ascii="Times New Roman" w:hAnsi="Times New Roman"/>
          <w:b w:val="false"/>
          <w:i w:val="false"/>
          <w:color w:val="000000"/>
          <w:sz w:val="22"/>
        </w:rPr>
        <w:t xml:space="preserve"> and 47 U.S.C. §§ 214(e) and 254. These rules are intended to preserve and advance universal service by implementing the commission’s authority to designate eligible telecommunications carriers (ETCs). These rules establish procedures for applying for designation as an eligible telecommunications carrier and for relinquishing such designation; adopt service requirements for eligible telecommunications carriers; and establish state certification and reporting requirements consistent with federal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 of terms. </w:t>
      </w:r>
      <w:r>
        <w:rPr>
          <w:rFonts w:ascii="Times New Roman" w:hAnsi="Times New Roman"/>
          <w:b w:val="false"/>
          <w:i w:val="false"/>
          <w:color w:val="000000"/>
          <w:sz w:val="22"/>
        </w:rPr>
        <w:t>For the purposes of the commission’s implementation of federal universal service fund requirements, the following definitions apply. Whenever a reference in this chapter is made to provisions found in 47 CFR Part 36, 51 or 54, that reference includes any amendment through February 20,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“Broadband service” </w:t>
      </w:r>
      <w:r>
        <w:rPr>
          <w:rFonts w:ascii="Times New Roman" w:hAnsi="Times New Roman"/>
          <w:b w:val="false"/>
          <w:i w:val="false"/>
          <w:color w:val="000000"/>
          <w:sz w:val="22"/>
        </w:rPr>
        <w:t>means the broadband Internet access service designated by the Federal Communications Commission at 47 CFR § 54.101 as eligible for support by the federal universal service support mechanisms. Eligible broadband Internet access services must provide the capability to transmit data and receive data by wire or radio from all or substantially all Internet endpoints, including any capabilities that are incidental to and enable the operation of the communications service, but excluding dial-up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eligible telecommunications carrier” </w:t>
      </w:r>
      <w:r>
        <w:rPr>
          <w:rFonts w:ascii="Times New Roman" w:hAnsi="Times New Roman"/>
          <w:b w:val="false"/>
          <w:i w:val="false"/>
          <w:color w:val="000000"/>
          <w:sz w:val="22"/>
        </w:rPr>
        <w:t>means a carrier that meets the definition of an “eligible telecommunications carrier” below and does not meet the definition of an “incumbent local exchange carrier” in 47 CFR § 51.5.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“Connect America fund”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“CAF” </w:t>
      </w:r>
      <w:r>
        <w:rPr>
          <w:rFonts w:ascii="Times New Roman" w:hAnsi="Times New Roman"/>
          <w:b w:val="false"/>
          <w:i w:val="false"/>
          <w:color w:val="000000"/>
          <w:sz w:val="22"/>
        </w:rPr>
        <w:t>means the federal universal service fund, as reformed by the Federal Communications Commission, to phase down and replace support previously provided through high-cost mechanisms, as referenced in 47 CFR §§ 54.304 and 54.312.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telecommunications carrier”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“eligible carrier” </w:t>
      </w:r>
      <w:r>
        <w:rPr>
          <w:rFonts w:ascii="Times New Roman" w:hAnsi="Times New Roman"/>
          <w:b w:val="false"/>
          <w:i w:val="false"/>
          <w:color w:val="000000"/>
          <w:sz w:val="22"/>
        </w:rPr>
        <w:t>means a carrier designated by the commission as eligible to receive universal service support pursuant to 47 U.S.C. § 214(e).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means any physical components of the telecommunications network that are used in the transmission or routing of the services designated for universal service fund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“High-cost program” </w:t>
      </w:r>
      <w:r>
        <w:rPr>
          <w:rFonts w:ascii="Times New Roman" w:hAnsi="Times New Roman"/>
          <w:b w:val="false"/>
          <w:i w:val="false"/>
          <w:color w:val="000000"/>
          <w:sz w:val="22"/>
        </w:rPr>
        <w:t>means the component of the federal universal service fund that includes the following support mechanisms: high-cost loop support, safety net support, safety valve support, local switching support, interstate common line support, high-cost model support, interstate access support, and the connect America fund, which includes funding to support and advance networks that provide voice and broadband services, both fixed and 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“High-cost support” </w:t>
      </w:r>
      <w:r>
        <w:rPr>
          <w:rFonts w:ascii="Times New Roman" w:hAnsi="Times New Roman"/>
          <w:b w:val="false"/>
          <w:i w:val="false"/>
          <w:color w:val="000000"/>
          <w:sz w:val="22"/>
        </w:rPr>
        <w:t>means those support mechanisms in existence as of October 1, 2011, specifically, high-cost loop support, safety net additive support and safety valve support provided pursuant to 47 CFR Part 36, Subpart F; local switching support pursuant to 47 CFR § 54.301; forward-looking support pursuant to 47 CFR § 54.309; interstate access support pursuant to 47 CFR §§ 54.800 through 54.809; interstate common line support pursuant to 47 CFR §§ 54.901 through 54.904; support provided pursuant to 47 CFR §§ 51.915, 51.917, and 54.304; support provided to competitive eligible telecommunications carriers as set forth in 47 CFR § 54.307(e); connect America fund support provided pursuant to 47 CFR § 54.312; mobility fund support provided pursuant to 47 CFR Part 54, Subpart L; and Rural Broadband Experiment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“Lifeline-only ETC” </w:t>
      </w:r>
      <w:r>
        <w:rPr>
          <w:rFonts w:ascii="Times New Roman" w:hAnsi="Times New Roman"/>
          <w:b w:val="false"/>
          <w:i w:val="false"/>
          <w:color w:val="000000"/>
          <w:sz w:val="22"/>
        </w:rPr>
        <w:t>means a telecommunications carrier that seeks limited designation as an ETC only to participate in the Lifeline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“Lifeline program” </w:t>
      </w:r>
      <w:r>
        <w:rPr>
          <w:rFonts w:ascii="Times New Roman" w:hAnsi="Times New Roman"/>
          <w:b w:val="false"/>
          <w:i w:val="false"/>
          <w:color w:val="000000"/>
          <w:sz w:val="22"/>
        </w:rPr>
        <w:t>means the federal universal service program providing support for low-income consumers that is defined in 47 CFR § 54.401 to mean a nontransferable retail service offering (1) for which qualifying low-income consumers pay reduced charges as a result of application of the Lifeline support amount described in 47 CFR § 54.403, and (2) which provides qualifying low-income consumers with voice telephony service as defined in 47 CFR § 54.101(a) or broadband Internet access service as defined in 47 CFR § 54.400.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“Mobility fund” </w:t>
      </w:r>
      <w:r>
        <w:rPr>
          <w:rFonts w:ascii="Times New Roman" w:hAnsi="Times New Roman"/>
          <w:b w:val="false"/>
          <w:i w:val="false"/>
          <w:color w:val="000000"/>
          <w:sz w:val="22"/>
        </w:rPr>
        <w:t>means the wireless component of the connect America fund which provides support for the extension of mobile broadband networks in otherwise unserved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Lifeline accountability database” </w:t>
      </w:r>
      <w:r>
        <w:rPr>
          <w:rFonts w:ascii="Times New Roman" w:hAnsi="Times New Roman"/>
          <w:b w:val="false"/>
          <w:i w:val="false"/>
          <w:color w:val="000000"/>
          <w:sz w:val="22"/>
        </w:rPr>
        <w:t>means the electronic system, with associated functions, processes, policies and procedures, to facilitate the detection and elimination of duplicative support, as directed by the Federal Communications Commission and as defined in 47 CFR § 54.400.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Lifeline eligibility verifier,” </w:t>
      </w:r>
      <w:r>
        <w:rPr>
          <w:rFonts w:ascii="Times New Roman" w:hAnsi="Times New Roman"/>
          <w:b w:val="false"/>
          <w:i w:val="false"/>
          <w:color w:val="000000"/>
          <w:sz w:val="22"/>
        </w:rPr>
        <w:t>as defined in 47 CFR § 54.400(o), means the electronic and manual system that facilitates the determination of consumer eligibility for the Lifeline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low-income consumer” </w:t>
      </w:r>
      <w:r>
        <w:rPr>
          <w:rFonts w:ascii="Times New Roman" w:hAnsi="Times New Roman"/>
          <w:b w:val="false"/>
          <w:i w:val="false"/>
          <w:color w:val="000000"/>
          <w:sz w:val="22"/>
        </w:rPr>
        <w:t>means a consumer who meets the qualifications for Lifeline as specified in 47 CFR § 54.409.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“Services designated for support” </w:t>
      </w:r>
      <w:r>
        <w:rPr>
          <w:rFonts w:ascii="Times New Roman" w:hAnsi="Times New Roman"/>
          <w:b w:val="false"/>
          <w:i w:val="false"/>
          <w:color w:val="000000"/>
          <w:sz w:val="22"/>
        </w:rPr>
        <w:t>means voice telephony service and broadband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“Tribal Link Up” </w:t>
      </w:r>
      <w:r>
        <w:rPr>
          <w:rFonts w:ascii="Times New Roman" w:hAnsi="Times New Roman"/>
          <w:b w:val="false"/>
          <w:i w:val="false"/>
          <w:color w:val="000000"/>
          <w:sz w:val="22"/>
        </w:rPr>
        <w:t>means an assistance program for eligible residents of tribal lands seeking telecommunications service from a telecommunications carrier that is receiving high-cost support on tribal lands, that provides a reduction of the customary charge for commencing telecommunications service for a single telecommunications connection at a subscriber’s principal place of residence and a deferred schedule of payments of the customary charge for commencing telecommunications service as defined in 47 CFR § 54.413(a).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“Voice telephony service” </w:t>
      </w:r>
      <w:r>
        <w:rPr>
          <w:rFonts w:ascii="Times New Roman" w:hAnsi="Times New Roman"/>
          <w:b w:val="false"/>
          <w:i w:val="false"/>
          <w:color w:val="000000"/>
          <w:sz w:val="22"/>
        </w:rPr>
        <w:t>means the service designated by the Federal Communications Commission at 47 CFR § 54.101 as eligible for support by the federal universal service support mechanisms. “Voice telephony service” is service which provides: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Voice grade access to the public switched network or its functional equivalent;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Minutes of use for local service at no additional charge to end users;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Access to the emergency services provided by local government or other public safety organizations, such as 911 and enhanced 911, to the extent the local government in an eligible carrier’s service area has implemented 911 or enhanced 911 systems;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Toll limitation services to qualifying low-income consumers as provided in 47 CFR Part 54, Subpart 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199—39.3</w:t>
      </w:r>
      <w:r>
        <w:rPr>
          <w:rFonts w:ascii="Times New Roman" w:hAnsi="Times New Roman"/>
          <w:b/>
          <w:i w:val="false"/>
          <w:color w:val="000000"/>
          <w:sz w:val="22"/>
        </w:rPr>
        <w:t xml:space="preserve">(476) </w:t>
      </w:r>
      <w:r>
        <w:rPr>
          <w:rFonts w:ascii="Times New Roman" w:hAnsi="Times New Roman"/>
          <w:b/>
          <w:i w:val="false"/>
          <w:color w:val="000000"/>
          <w:sz w:val="22"/>
        </w:rPr>
        <w:t xml:space="preserve">Applying for designation as an eligible telecommunications carrier.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w:t>
      </w:r>
      <w:r>
        <w:rPr>
          <w:rFonts w:ascii="Times New Roman" w:hAnsi="Times New Roman"/>
          <w:b w:val="false"/>
          <w:i w:val="false"/>
          <w:color w:val="000000"/>
          <w:sz w:val="22"/>
        </w:rPr>
        <w:t> </w:t>
      </w:r>
      <w:r>
        <w:rPr>
          <w:rFonts w:ascii="Times New Roman" w:hAnsi="Times New Roman"/>
          <w:b w:val="false"/>
          <w:i w:val="false"/>
          <w:color w:val="000000"/>
          <w:sz w:val="22"/>
        </w:rPr>
        <w:t>A telecommunications carrier must be designated as an ETC to qualify for support from the federal universal service fund. The Iowa utilities commission reviews applications for designation as an ETC for compliance with 47 U.S.C. § 214(e)(1) and grants ETC designations to qualified applicants for a service area designated by the commission. If an applicant requests an expedited ruling from the commission on an application to be designated as an ETC or on an amendment to an existing ETC designation, the applicant shall specify why an expedited process is necessary and why an expedited review would not be contrary to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39.3(2)</w:t>
      </w:r>
      <w:r>
        <w:rPr>
          <w:rFonts w:ascii="Times New Roman" w:hAnsi="Times New Roman"/>
          <w:b w:val="false"/>
          <w:i w:val="false"/>
          <w:color w:val="000000"/>
          <w:sz w:val="22"/>
        </w:rPr>
        <w:t> </w:t>
      </w:r>
      <w:r>
        <w:rPr>
          <w:rFonts w:ascii="Times New Roman" w:hAnsi="Times New Roman"/>
          <w:b w:val="false"/>
          <w:i w:val="false"/>
          <w:color w:val="000000"/>
          <w:sz w:val="22"/>
        </w:rPr>
        <w:t>An application for an ETC designation must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an applicant offers more than one type of communications service, a clear statement of which entity is requesting the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clear statement of the purposes for which the designation is sought, and a statement of financial and technical qualification to provide the supported service. An applicant shall specify whether designation is sought for purposes of receiving support from the high-cost fund or mobility fund; for Lifeline purposes only; or other specified purpose recognized by the Federal Communications Commission (FCC).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offers or intends to offer all services designated for support throughout the applicant’s approved service area. The services designated for support are identified in 47 CFR § 54.101.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how the carrier will provide voice telephony service and broadband service as defined in </w:t>
      </w:r>
      <w:hyperlink r:id="rId9">
        <w:r>
          <w:rPr>
            <w:rStyle w:val="Hyperlink"/>
            <w:rFonts w:ascii="Times New Roman" w:hAnsi="Times New Roman"/>
            <w:b w:val="false"/>
            <w:i w:val="false"/>
            <w:color w:val="000000"/>
            <w:sz w:val="22"/>
          </w:rPr>
          <w:t>199—39.2</w:t>
        </w:r>
      </w:hyperlink>
      <w:r>
        <w:rPr>
          <w:rFonts w:ascii="Times New Roman" w:hAnsi="Times New Roman"/>
          <w:b w:val="false"/>
          <w:i w:val="false"/>
          <w:color w:val="000000"/>
          <w:sz w:val="22"/>
        </w:rPr>
        <w:t>(476) and 47 CFR § 54.101.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offers or intends to offer the supported services either using its own facilities or a combination of its own facilities and resale of another carrier’s services. “Own facilities” includes unbundled network elements, in whole or in part. The facilities providing the services supported by the universal service fund need not be physically located in the area served. Wireless resellers shall provide the name of the facilities-based wireless carrier(s) whose services they are reselling and demonstrate they have an agreement with the carrier(s) in Iowa that will cover the applicant’s proposed designated service area. Except for wireless resellers seeking ETC designation for Lifeline purposes only that have obtained FCC approval of a compliance plan and committed to certain 911 conditions, the commission will not designate as an eligible telecommunications carrier a carrier that offers the services supported by federal universal service support mechanisms exclusively through the resale of another carrier’s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applicant advertises the availability of supported services and the charges therefor using media of general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description, including a map or maps, of the geographic service area for which the applicant requests an ETC designation from the commission. An applicant seeking designation in connection with the connect America fund Phase II auction or other similar conditional support mechanism shall file a list of the census blocks in which the applicant will serve as an ETC, in addition to the map included with the description required by this paragraph. Wireless telecommunications carriers, defined as commercial mobile radio service providers in 47 CFR Parts 20 and 24, shall file coverage area maps and maps that depict signal strength. Requests to withhold from public inspection maps depicting signal strength will be deemed granted as provided in </w:t>
      </w:r>
      <w:hyperlink r:id="rId10">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Where the application is from a carrier seeking a designation as an ETC for an area served by a rural telephone company as defined in 47 CFR § 51.5, a demonstration that the requested designation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affirmative statement that the applicant will use the support only for the provision, maintenance, and upgrading of facilities to deploy, improve, and support services to consumers in the applicant’s designated service area. Applicants seeking designation only for purposes of receiving support from the Lifeline program need not include an affirmative statement or other information concerning network improvements planned for the designated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affirmative statement explaining how the applicant will remain functional in emergency situations. The statement shall include examples illustrating that the applicant has a reasonable amount of back-up power to ensure functionality without an external power source, is able to reroute traffic around damaged facilities, and is capable of managing traffic spikes resulting from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will comply with the service requirements applicable to the support that it seeks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will satisfy applicable consumer protection and service quality standards. Wireless ETC applicants shall commit to complying with the following minimum consumer protection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Disclose rates and terms of service to consumers. For each service plan offered to new consumers, wireless carriers will disclose to consumers at point of sale and on their websites at least the following information, as applicable: (a) the coverage area for the service; (b) any activation or initiation fee; (c) the monthly access fee or base charge; (d) the amount and nature of any voice, messaging, or data allowances included in the plan (such as night and weekend minutes); (e) the charges for domestic usage in excess of any included allowances or outside of the coverage area; (f) for prepaid service plans, the period of time during which any balance is available for use; (g) whether there are prohibitions on data service usage and whether there are network management practices that will have a material impact on the customer’s wireless data experience; (h) whether any additional taxes, fees or surcharges apply; (i) the amount or range of any such fees or surcharges that are collected and retained by the carrier; (j) the amount or nature of any late payment fee; (k) whether a fixed-term contract is required and its duration; (l) the amount and nature of any early termination fee that may apply; and (m) the trial period during which a consumer may cancel service without any early termination fee, as long as the consumer complies with any applicable return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available maps showing where service is generally available. Wireless carriers will make available at point of sale and on their websites maps depicting approximate domestic coverage applicable to each of their service plans currently offered to consumers. To enable consumers to make comparisons among carriers, these maps will be generated using generally accepted methodologies and standards to depict the carrier’s outdoor coverage. All such maps will contain or link to an appropriate legend concerning limitations or variations, or both, in wireless coverage and map usage, including any geographic limitations on the availability of any services included in the plan. Wireless carriers will periodically update such maps as necessary to keep them reasonably current. If necessary to show the extent of service coverage available to customers from carriers’ roaming partners, carriers will request from roaming partners and incorporate coverage maps that are generated using similar industry-accepted criteria, or if such information is not available, incorporate publicly available information regarding roaming partners’ coverage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contract terms to customers and confirm changes in service. When a customer initiates new service or a change in existing service, the carrier will provide or confirm any new material terms and conditions of the ongoing service with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Allow a trial period for new service. When a customer initiates postpaid service with a wireless carrier, the customer will be informed of and given a period of not less than 14 days to try out the service. The carrier will not impose an early termination fee if the customer cancels service within this period, provided that the customer complies with applicable return policies and exchange policies. Other charges, including usage charges, may still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specific disclosures in advertising. In advertising of prices for wireless service plans or devices, wireless carriers will disclose material charges and conditions related to the advertised prices and services, including if applicable and to the extent the advertising medium reasonably allows: (a) whether activation or initiation fees apply; (b) monthly access fees or base charges; (c) the amount and nature of any voice, messaging, or data service allowances included in the plan; (d) the charges for any domestic usage in excess of any included allowances or outside of the coverage area; (e) for prepaid service plans, the period of time during which any balance is available for use; (f) whether there are network management practices that will have a material impact on the customer’s wireless data experience; (g) whether any additional taxes, fees or surcharges apply; (h) the amount or range of any such fees or surcharges that are collected and retained by the carrier; (i) whether a fixed-term contract is required and its duration; (j) early termination fees; (k) the terms and conditions related to receiving a product or service for “free”; (l) for any service plan advertised as “nationwide” (or using similar terms), the carrier will have available substantiation for this claim; and (m) whether prices or benefits apply only for a limited time or promotional period and, if so, whether any different fees or charges will apply for the remainder of the contract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Separately identify carrier charges from taxes on billing statements. On customers’ bills, carriers will distinguish (a) monthly charges for service and features, and other charges collected and retained by the carrier, from (b) taxes, fees and other charges collected by the carrier and remitted to federal, state or local governments. Carriers will not label cost recovery fees or charges as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customers the right to terminate service for changes to contract terms. Carriers will not modify the material terms of their postpaid customers’ contracts in a manner that is materially adverse to those customers without providing a reasonable advance notice of a proposed modification and allowing those customers a time period of not less than 14 days to cancel their contracts with no early termination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Provide ready access to customer service. Customers will be provided a toll-free telephone number to access a carrier’s customer service during normal business hours. Customer service contact information will be provided to customers online and on billing statements. Each wireless carrier will provide information about how customers can contact the carrier in writing, by toll-free telephone number, via the Internet or otherwise with any inquiries or complaints, and this information will be included, at a minimum, on all billing statements, in written responses to customer inquiries and on carriers’ websites. Each carrier will also make such contact information available, upon request, to any customer calling the carrier’s customer service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respond to consumer inquiries and complaints received from government agencies. Inquiries for information or complaints to a wireless ETC shall be resolved promptly and courteously. If a wireless ETC cannot resolve a dispute with the applicant or customer, the wireless ETC shall inform the applicant or customer of the right to file a complaint with the commission. The wireless ETC shall provide the following commission address and toll-free telephone number: Iowa Utilities Commission, Customer Service, 1375 E. Court Avenue, Des Moines, Iowa 50319-0069; 1-877-565-4450. When the commission receives a complaint, the procedures set out in </w:t>
      </w:r>
      <w:hyperlink r:id="rId11">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“Complaint Procedures,” shall be followed to enforce the minimum consumer protection standards in paragraph </w:t>
      </w:r>
      <w:hyperlink r:id="rId12">
        <w:r>
          <w:rPr>
            <w:rStyle w:val="Hyperlink"/>
            <w:rFonts w:ascii="Times New Roman" w:hAnsi="Times New Roman"/>
            <w:b w:val="false"/>
            <w:i w:val="false"/>
            <w:color w:val="000000"/>
            <w:sz w:val="22"/>
          </w:rPr>
          <w:t>39.3(2)</w:t>
        </w:r>
        <w:r>
          <w:rPr>
            <w:rFonts w:ascii="Times New Roman" w:hAnsi="Times New Roman"/>
            <w:b w:val="false"/>
            <w:i/>
            <w:color w:val="000000"/>
            <w:sz w:val="22"/>
          </w:rPr>
          <w:t>“l.”</w:t>
        </w:r>
      </w:hyperlink>
      <w:r>
        <w:rPr>
          <w:rFonts w:ascii="Times New Roman" w:hAnsi="Times New Roman"/>
          <w:b w:val="false"/>
          <w:i w:val="false"/>
          <w:color w:val="000000"/>
          <w:sz w:val="22"/>
        </w:rPr>
        <w:t xml:space="preserve"> When the commission receives a complaint alleging the addition or deletion of a product or service for which a separate charge is made to a customer account without the verified consent of the customer, the complaint shall be processed by the commission pursuant to </w:t>
      </w:r>
      <w:hyperlink r:id="rId13">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In any complaint proceeding pursuant to this subparagraph, if the wireless ETC asserts that the complainant is located in an area where the wireless ETC is not designated as an ETC, the wireless ETC must submit evidence in support of its assertion.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Abide by policies for protection of customer privacy. Each wireless carrier will abide by a policy regarding the privacy of customer information in accordance with applicable federal and state laws, and will make available to the public its privacy policy concerning information collected online. Each wireless carrier will abide by the Cellular Telecommunications and Internet Association’s Best Practices and Guidelines for Location-Based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 consumers with free notifications for voice, data and messaging usage, and international roaming. Each wireless provider will provide, at no charge: (a) a notification to consumers of currently offered and future domestic wireless plans that include limited data allowances when consumers approach and exceed their allowance for data usage and will incur overage charges; (b) a notification to consumers of currently offered and future domestic voice and messaging plans that include limited voice and messaging allowances when consumers approach and exceed their allowance for those services and will incur overage charges; and (c) a notification to consumers without an international roaming plan/package whose devices have registered abroad and who may incur charges for international usage. Wireless providers will generate the notifications described above to postpaid consumers based on information available at the time the notification is sent. Wireless consumers will not have to affirmatively sign up in order for these notifications to be sent. Wireless providers will clearly and conspicuously disclose tools or services that enable consumers to track, monitor or set limits on voice, messaging and data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Abide by the mobile wireless device unlocking standards established in the Cellular Telecommunications and Internet Association’s Consumer Code for Wireless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will contribute to the dual party relay service, as provided in Iowa Code section 447C.7(1).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For applications from carriers seeking designation as an ETC for any part of tribal lands, the applicant shall provide a copy of its application to the affected tribal government and tribal regulatory authority at the time it files the application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39.3(3)</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assignments and transfers of control. Except as otherwise provided in this subrule, a carrier’s ETC designation may be amended or assigned, or control of such designation may be transferred by the transfer of control of the carrier, whether voluntarily or involuntarily, directly or indirectly, only upon application to and prior approval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 xml:space="preserve">For purposes of this subrule, an assignment of a designation is a transaction in which a commission-issued ETC designation is assigned from one carrier to another carrier. Following an assignment, the designation is held by a carrier other than the carrier to which it was originally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Transfers of control. </w:t>
      </w:r>
      <w:r>
        <w:rPr>
          <w:rFonts w:ascii="Times New Roman" w:hAnsi="Times New Roman"/>
          <w:b w:val="false"/>
          <w:i w:val="false"/>
          <w:color w:val="000000"/>
          <w:sz w:val="22"/>
        </w:rPr>
        <w:t xml:space="preserve">For purposes of this subrule, a transfer of control is a transaction in which a commission-issued designation remains held by the same carrier, but there is a change in the individuals or entities that control the carrier. A change from less than 50 percent ownership to 50 percent or more ownership shall always be considered a transfer of control. A change from 50 percent or more ownership to less than 50 percent ownership shall always be considered a transfer of control. In all other situations, whether the interest being transferred is controlling must be determined on a case-by-case basis. The factors relevant to a determination of control in addition to equity ownership include, but are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to constitute or appoint more than 50 percent of the board of directors or partnership management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to appoint, promote, demote and fire senior executives who control the day-to-day activities of the carrier;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Ability to play an integral role in major management decisions of the carrier;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Authority to pay financial obligations, including expenses arising out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Ability to receive moneys and profits from the carrier’s operations;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Unfettered use of all of the carrier’s facilities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 forma assignments and transfers of control. </w:t>
      </w:r>
      <w:r>
        <w:rPr>
          <w:rFonts w:ascii="Times New Roman" w:hAnsi="Times New Roman"/>
          <w:b w:val="false"/>
          <w:i w:val="false"/>
          <w:color w:val="000000"/>
          <w:sz w:val="22"/>
        </w:rPr>
        <w:t xml:space="preserve">Assignments or transfers of control that do not result in a change in the actual controlling party are considered nonsubstantial or pro forma. If a transaction is one of the types listed below, the transaction is presumptively pro forma and prior commission approval need not be sought: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from an individual or individuals to an entity owned and controlled by such individuals without any substantial change in their relative interests;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from an entity to its individual equity holders without effecting any substantial change in the disposition of their interests;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or transfer by which certain equity holders retire and the interest transferred is not a controlling one;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Entity reorganization that involves no substantial change in the beneficial ownership of the carrier (including reincorporation or reorganization in a different jurisdiction or change in form of the business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or transfer from a carrier to a wholly owned direct or indirect subsidiary thereof or vice versa, or where there is an assignment from a carrier to an entity owned or controlled by the same equity holders without substantial change in their interests;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Assignment of less than a controlling interest in a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substantial transactions. </w:t>
      </w:r>
      <w:r>
        <w:rPr>
          <w:rFonts w:ascii="Times New Roman" w:hAnsi="Times New Roman"/>
          <w:b w:val="false"/>
          <w:i w:val="false"/>
          <w:color w:val="000000"/>
          <w:sz w:val="22"/>
        </w:rPr>
        <w:t xml:space="preserve">In the case of an assignment or transfer of control of commission-designated ETC that is not pro forma, the parties to such transaction must file a joint application with the commission prior to consummation of the proposed assignment or transfer of control. The application shall include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narrative of the means by which the proposed transfer or assignment will take place. This narrative should include a statement concerning how the transaction will be classified for the purposes of any filings required to be made by the parties with the Universal Service Administrative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each applicant, including the legal name and state or other governmental authority under the laws of which each entity applicant is incorporated or organized.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title, mailing address, telephone number and email contact information for each applicant.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title, mailing address, telephone number and email contact information for an application contact point, such as an executive officer, legal counsel or regulatory consultant, to whom correspondence concerning the application should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identifying the date on which the applicants are asking for the transfer of the ETC designation to be effective. Where the timing of a transaction is dependent on facts objectively ascertainable outside of the filing (i.e., regulatory, lender or other third-party approval), the parties should include a statement concerning the manner in which such facts will operate on the effective date or other terms of the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as to whether the assignee/transferee is a commission-designated ETC. If the assignee/transferee is not a commission-designated ETC, the assignee/transferee shall separately file with the commission an application for designation as an ETC as provided in </w:t>
      </w:r>
      <w:hyperlink r:id="rId14">
        <w:r>
          <w:rPr>
            <w:rStyle w:val="Hyperlink"/>
            <w:rFonts w:ascii="Times New Roman" w:hAnsi="Times New Roman"/>
            <w:b w:val="false"/>
            <w:i w:val="false"/>
            <w:color w:val="000000"/>
            <w:sz w:val="22"/>
          </w:rPr>
          <w:t>subrule 39.3(2)</w:t>
        </w:r>
      </w:hyperlink>
      <w:r>
        <w:rPr>
          <w:rFonts w:ascii="Times New Roman" w:hAnsi="Times New Roman"/>
          <w:b w:val="false"/>
          <w:i w:val="false"/>
          <w:color w:val="000000"/>
          <w:sz w:val="22"/>
        </w:rPr>
        <w:t xml:space="preserve">. If the assignee/transferee is a commission-designated ETC, the joint application shall include a certification from the assignee/transferee that (a) the assignee/transferee is a commission-designated ETC in good standing and (b) the assignee/transferee will comply with the state and federal requirements for eligibility as an ETC, including the use of support to provide designated services within the assigned or transferred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as part of the transaction, the assignor/transferor is requesting to relinquish its ETC status in whole or in part. If the assignor/transferor is requesting to relinquish its ETC status, the joint application shall be deemed to be the assignor/transferor’s request for relinquishment of ETC designation under </w:t>
      </w:r>
      <w:hyperlink r:id="rId15">
        <w:r>
          <w:rPr>
            <w:rStyle w:val="Hyperlink"/>
            <w:rFonts w:ascii="Times New Roman" w:hAnsi="Times New Roman"/>
            <w:b w:val="false"/>
            <w:i w:val="false"/>
            <w:color w:val="000000"/>
            <w:sz w:val="22"/>
          </w:rPr>
          <w:t>199—39.8</w:t>
        </w:r>
      </w:hyperlink>
      <w:r>
        <w:rPr>
          <w:rFonts w:ascii="Times New Roman" w:hAnsi="Times New Roman"/>
          <w:b w:val="false"/>
          <w:i w:val="false"/>
          <w:color w:val="000000"/>
          <w:sz w:val="22"/>
        </w:rPr>
        <w:t xml:space="preserve">(476); provided that such relinquishment shall be conditioned on consummation of the transaction described in the application. If the assignor/transferor is for any reason seeking the unconditional relinquishment of its ETC status, such request should be filed separately under </w:t>
      </w:r>
      <w:hyperlink r:id="rId16">
        <w:r>
          <w:rPr>
            <w:rStyle w:val="Hyperlink"/>
            <w:rFonts w:ascii="Times New Roman" w:hAnsi="Times New Roman"/>
            <w:b w:val="false"/>
            <w:i w:val="false"/>
            <w:color w:val="000000"/>
            <w:sz w:val="22"/>
          </w:rPr>
          <w:t>199—39.8</w:t>
        </w:r>
      </w:hyperlink>
      <w:r>
        <w:rPr>
          <w:rFonts w:ascii="Times New Roman" w:hAnsi="Times New Roman"/>
          <w:b w:val="false"/>
          <w:i w:val="false"/>
          <w:color w:val="000000"/>
          <w:sz w:val="22"/>
        </w:rPr>
        <w:t xml:space="preserve">(476).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 Commission approval. </w:t>
      </w:r>
      <w:r>
        <w:rPr>
          <w:rFonts w:ascii="Times New Roman" w:hAnsi="Times New Roman"/>
          <w:b w:val="false"/>
          <w:i w:val="false"/>
          <w:color w:val="000000"/>
          <w:sz w:val="22"/>
        </w:rPr>
        <w:t xml:space="preserve">Where an assignment or transfer of control involves a transferee/assignee which is already a commission-designated ETC, such application shall be granted by the commission 30 days after the date the complete application seeking approval of the assignment or transfer of control is accepted for filing, unless the commission, for good cause, dockets the application for further investigation. Where an assignment or transfer of control involves a transferee/assignee which is not already a commission-designated ETC, such application shall be granted by the commission at the same time as the commission grants the assignee/transferee’s application for ETC designation in accordance with the timelines and procedures set forth in </w:t>
      </w:r>
      <w:hyperlink r:id="rId17">
        <w:r>
          <w:rPr>
            <w:rStyle w:val="Hyperlink"/>
            <w:rFonts w:ascii="Times New Roman" w:hAnsi="Times New Roman"/>
            <w:b w:val="false"/>
            <w:i w:val="false"/>
            <w:color w:val="000000"/>
            <w:sz w:val="22"/>
          </w:rPr>
          <w:t>subrule 39.3(2)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 forma transactions. </w:t>
      </w:r>
      <w:r>
        <w:rPr>
          <w:rFonts w:ascii="Times New Roman" w:hAnsi="Times New Roman"/>
          <w:b w:val="false"/>
          <w:i w:val="false"/>
          <w:color w:val="000000"/>
          <w:sz w:val="22"/>
        </w:rPr>
        <w:t xml:space="preserve">In the case of a pro forma assignment or transfer of control, the designated ETC is not required to seek prior commission approval. Instead, a pro forma assignee or a carrier that is subject to a pro forma transfer of control must file a notification with the commission no later than 30 days after the assignment or transfer is completed. The notification must contain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subparagraphs </w:t>
      </w:r>
      <w:hyperlink r:id="rId18">
        <w:r>
          <w:rPr>
            <w:rStyle w:val="Hyperlink"/>
            <w:rFonts w:ascii="Times New Roman" w:hAnsi="Times New Roman"/>
            <w:b w:val="false"/>
            <w:i w:val="false"/>
            <w:color w:val="000000"/>
            <w:sz w:val="22"/>
          </w:rPr>
          <w:t>39.3(3)</w:t>
        </w:r>
      </w:hyperlink>
      <w:r>
        <w:rPr>
          <w:rFonts w:ascii="Times New Roman" w:hAnsi="Times New Roman"/>
          <w:b w:val="false"/>
          <w:i/>
          <w:color w:val="000000"/>
          <w:sz w:val="22"/>
        </w:rPr>
        <w:t>“d”</w:t>
      </w:r>
      <w:r>
        <w:rPr>
          <w:rFonts w:ascii="Times New Roman" w:hAnsi="Times New Roman"/>
          <w:b w:val="false"/>
          <w:i w:val="false"/>
          <w:color w:val="000000"/>
          <w:sz w:val="22"/>
        </w:rPr>
        <w:t xml:space="preserve">(1) to (4) for the transferee/assignee.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that the transfer of control or assignment was pro forma and that, together with all previous pro forma transactions, the transfer of control or assignment does not result in a change in the actual control of the carrier.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from the assignee/transferee that the assignee/transferee will comply with the state and federal requirements for eligibility as an ETC, including the use of support to provide designated services within the assigned or transferred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Involuntary assignments or transfers of control. </w:t>
      </w:r>
      <w:r>
        <w:rPr>
          <w:rFonts w:ascii="Times New Roman" w:hAnsi="Times New Roman"/>
          <w:b w:val="false"/>
          <w:i w:val="false"/>
          <w:color w:val="000000"/>
          <w:sz w:val="22"/>
        </w:rPr>
        <w:t xml:space="preserve">In the case of an involuntary assignment or transfer of control to a bankruptcy trustee appointed under involuntary bankruptcy; to an independent receiver appointed by a court of competent jurisdiction in a foreclosure action; or in the case of death or legal disability, to a person or entity legally qualified to succeed the deceased or disabled person under the laws of the place having jurisdiction over the estate involved, the applicant must make the appropriate filing no later than 30 days after the event causing the involuntary assignment or transfer of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consummation. </w:t>
      </w:r>
      <w:r>
        <w:rPr>
          <w:rFonts w:ascii="Times New Roman" w:hAnsi="Times New Roman"/>
          <w:b w:val="false"/>
          <w:i w:val="false"/>
          <w:color w:val="000000"/>
          <w:sz w:val="22"/>
        </w:rPr>
        <w:t xml:space="preserve">An assignee or transferee must notify the commission no later than 30 days after either consummation of the proposed assignment or transfer of control or a decision not to consummate the proposed assignment or transfer of control. The notification shall identify the docket number(s) under which the authorization of the assignment or transfer of control was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Amendments other than transactions. </w:t>
      </w:r>
      <w:r>
        <w:rPr>
          <w:rFonts w:ascii="Times New Roman" w:hAnsi="Times New Roman"/>
          <w:b w:val="false"/>
          <w:i w:val="false"/>
          <w:color w:val="000000"/>
          <w:sz w:val="22"/>
        </w:rPr>
        <w:t>Where a carrier that has been designated by the commission as an ETC intends to serve as an ETC in a new service area for the purpose of receiving support from the CAF Phase II auction or for other similar purposes, the carrier shall file a request to amend its designation with a notice of expansion at least 30 days in advance of the expansion and shall certify that the carrier intends to amend its designation to serve as an ETC in the expanded service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199—39.4</w:t>
      </w:r>
      <w:r>
        <w:rPr>
          <w:rFonts w:ascii="Times New Roman" w:hAnsi="Times New Roman"/>
          <w:b/>
          <w:i w:val="false"/>
          <w:color w:val="000000"/>
          <w:sz w:val="22"/>
        </w:rPr>
        <w:t xml:space="preserve">(476) </w:t>
      </w:r>
      <w:r>
        <w:rPr>
          <w:rFonts w:ascii="Times New Roman" w:hAnsi="Times New Roman"/>
          <w:b/>
          <w:i w:val="false"/>
          <w:color w:val="000000"/>
          <w:sz w:val="22"/>
        </w:rPr>
        <w:t xml:space="preserve">Lifeline-only applicants. </w:t>
      </w:r>
      <w:r>
        <w:rPr>
          <w:rFonts w:ascii="Times New Roman" w:hAnsi="Times New Roman"/>
          <w:b w:val="false"/>
          <w:i w:val="false"/>
          <w:color w:val="000000"/>
          <w:sz w:val="22"/>
        </w:rPr>
        <w:t xml:space="preserve">Where an applicant is seeking designation only for purposes of receiving support from the Lifeline program, the following requirements apply in addition to those specified in </w:t>
      </w:r>
      <w:hyperlink r:id="rId19">
        <w:r>
          <w:rPr>
            <w:rStyle w:val="Hyperlink"/>
            <w:rFonts w:ascii="Times New Roman" w:hAnsi="Times New Roman"/>
            <w:b w:val="false"/>
            <w:i w:val="false"/>
            <w:color w:val="000000"/>
            <w:sz w:val="22"/>
          </w:rPr>
          <w:t>199—39.3</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w:t>
      </w:r>
      <w:r>
        <w:rPr>
          <w:rFonts w:ascii="Times New Roman" w:hAnsi="Times New Roman"/>
          <w:b w:val="false"/>
          <w:i w:val="false"/>
          <w:color w:val="000000"/>
          <w:sz w:val="22"/>
        </w:rPr>
        <w:t> </w:t>
      </w:r>
      <w:r>
        <w:rPr>
          <w:rFonts w:ascii="Times New Roman" w:hAnsi="Times New Roman"/>
          <w:b w:val="false"/>
          <w:i/>
          <w:color w:val="000000"/>
          <w:sz w:val="22"/>
        </w:rPr>
        <w:t xml:space="preserve">Approved compliance plan required. </w:t>
      </w:r>
      <w:r>
        <w:rPr>
          <w:rFonts w:ascii="Times New Roman" w:hAnsi="Times New Roman"/>
          <w:b w:val="false"/>
          <w:i w:val="false"/>
          <w:color w:val="000000"/>
          <w:sz w:val="22"/>
        </w:rPr>
        <w:t>The applicant shall submit a copy of a compliance plan submitted to the Federal Communications Commission and a copy of the Commission’s notice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of voice telephony service offered to Lifeline subscribers. </w:t>
      </w:r>
      <w:r>
        <w:rPr>
          <w:rFonts w:ascii="Times New Roman" w:hAnsi="Times New Roman"/>
          <w:b w:val="false"/>
          <w:i w:val="false"/>
          <w:color w:val="000000"/>
          <w:sz w:val="22"/>
        </w:rPr>
        <w:t>The applicant shall submit information describing the terms and conditions of any voice telephony service plans offered to Lifeline subscribers, including details on the number of minutes provided as part of the plan, additional charges, if any, for toll calls, and rates for such plan. To the extent the applicant offers to Lifeline subscribers plans that are generally available to the public, the applicant may provide summary information regarding such plans, such as a link to a public website outlining the terms and conditions of such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financial and technical capability to provide supported services. </w:t>
      </w:r>
      <w:r>
        <w:rPr>
          <w:rFonts w:ascii="Times New Roman" w:hAnsi="Times New Roman"/>
          <w:b w:val="false"/>
          <w:i w:val="false"/>
          <w:color w:val="000000"/>
          <w:sz w:val="22"/>
        </w:rPr>
        <w:t>The applicant shall demonstrate that it is financially and technically capable of providing the supported Lifeline service in compliance with 47 CFR Subchapter B, Part 54, Subpart E, as required by 47 CFR § 54.201(h). Relevant considerations include, but are not limited to, how long the carrier has been in business, whether the applicant intends to rely exclusively on universal service fund disbursements to operate, whether the applicant receives or will receive revenue from other sources, and whether the applicant has been subject to enforcement action or ETC revocation proceedings in any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199—39.5</w:t>
      </w:r>
      <w:r>
        <w:rPr>
          <w:rFonts w:ascii="Times New Roman" w:hAnsi="Times New Roman"/>
          <w:b/>
          <w:i w:val="false"/>
          <w:color w:val="000000"/>
          <w:sz w:val="22"/>
        </w:rPr>
        <w:t xml:space="preserve">(476) </w:t>
      </w:r>
      <w:r>
        <w:rPr>
          <w:rFonts w:ascii="Times New Roman" w:hAnsi="Times New Roman"/>
          <w:b/>
          <w:i w:val="false"/>
          <w:color w:val="000000"/>
          <w:sz w:val="22"/>
        </w:rPr>
        <w:t xml:space="preserve">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the approved service area for universal service fund support calculations will be the same as the service area currently approved for local service by the commission. Those carriers not currently approved to provide local service are required to provide documentation showing their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w:t>
      </w:r>
      <w:r>
        <w:rPr>
          <w:rFonts w:ascii="Times New Roman" w:hAnsi="Times New Roman"/>
          <w:b w:val="false"/>
          <w:i w:val="false"/>
          <w:color w:val="000000"/>
          <w:sz w:val="22"/>
        </w:rPr>
        <w:t> </w:t>
      </w:r>
      <w:r>
        <w:rPr>
          <w:rFonts w:ascii="Times New Roman" w:hAnsi="Times New Roman"/>
          <w:b w:val="false"/>
          <w:i w:val="false"/>
          <w:color w:val="000000"/>
          <w:sz w:val="22"/>
        </w:rPr>
        <w:t>In the case of a service area served by a rural telephone company, “service area” means such company’s “study area” unless and until the FCC and the states, after taking into account recommendations of a federal-state joint commission instituted under Section 410(c) of the Telecommunications Act of 1996, establish a different definition of service area for such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w:t>
      </w:r>
      <w:r>
        <w:rPr>
          <w:rFonts w:ascii="Times New Roman" w:hAnsi="Times New Roman"/>
          <w:b w:val="false"/>
          <w:i w:val="false"/>
          <w:color w:val="000000"/>
          <w:sz w:val="22"/>
        </w:rPr>
        <w:t> </w:t>
      </w:r>
      <w:r>
        <w:rPr>
          <w:rFonts w:ascii="Times New Roman" w:hAnsi="Times New Roman"/>
          <w:b w:val="false"/>
          <w:i w:val="false"/>
          <w:color w:val="000000"/>
          <w:sz w:val="22"/>
        </w:rPr>
        <w:t>In the case of a wireless telecommunications carrier, “service area” means that area where the wireless company has been licensed by the FCC to provide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199—39.6</w:t>
      </w:r>
      <w:r>
        <w:rPr>
          <w:rFonts w:ascii="Times New Roman" w:hAnsi="Times New Roman"/>
          <w:b/>
          <w:i w:val="false"/>
          <w:color w:val="000000"/>
          <w:sz w:val="22"/>
        </w:rPr>
        <w:t xml:space="preserve">(476) </w:t>
      </w:r>
      <w:r>
        <w:rPr>
          <w:rFonts w:ascii="Times New Roman" w:hAnsi="Times New Roman"/>
          <w:b/>
          <w:i w:val="false"/>
          <w:color w:val="000000"/>
          <w:sz w:val="22"/>
        </w:rPr>
        <w:t xml:space="preserve">Universal service support for low-income consumers (Lifeline program and Tribal Link Up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39.6(1)</w:t>
      </w:r>
      <w:r>
        <w:rPr>
          <w:rFonts w:ascii="Times New Roman" w:hAnsi="Times New Roman"/>
          <w:b w:val="false"/>
          <w:i w:val="false"/>
          <w:color w:val="000000"/>
          <w:sz w:val="22"/>
        </w:rPr>
        <w:t> </w:t>
      </w:r>
      <w:r>
        <w:rPr>
          <w:rFonts w:ascii="Times New Roman" w:hAnsi="Times New Roman"/>
          <w:b w:val="false"/>
          <w:i/>
          <w:color w:val="000000"/>
          <w:sz w:val="22"/>
        </w:rPr>
        <w:t xml:space="preserve">Carrier obligation to offer Lifeline. </w:t>
      </w:r>
      <w:r>
        <w:rPr>
          <w:rFonts w:ascii="Times New Roman" w:hAnsi="Times New Roman"/>
          <w:b w:val="false"/>
          <w:i w:val="false"/>
          <w:color w:val="000000"/>
          <w:sz w:val="22"/>
        </w:rPr>
        <w:t xml:space="preserve">Pursuant to 47 CFR § 54.405, which specifies the Lifeline obligations of eligible telecommunications carriers, all eligible telecommunications carriers must make available Lifeline service, as defined in 47 CFR § 54.401, to qualifying low-income consumers, defined as consumers who meet the qualifications for Lifeline as specified in 47 CFR § 54.409. Eligible telecommunications carriers must comply with the minimum service standards specified in 47 CFR § 54.408.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39.6(2)</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r>
        <w:rPr>
          <w:rFonts w:ascii="Times New Roman" w:hAnsi="Times New Roman"/>
          <w:b w:val="false"/>
          <w:i w:val="false"/>
          <w:color w:val="000000"/>
          <w:sz w:val="22"/>
        </w:rPr>
        <w:t>Eligible telecommunications carriers shall include a description of their Lifeline offerings or discounts in their residential service agreements. Eligible telecommunications carriers shall provide the commission with information about their residential service agreements upon request. Eligible telecommunications carriers shall publicize the availability of Lifeline service in a manner reasonably designed to reach those likely to qualify for service as required by 47 CFR § 54.405(b).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39.6(3)</w:t>
      </w:r>
      <w:r>
        <w:rPr>
          <w:rFonts w:ascii="Times New Roman" w:hAnsi="Times New Roman"/>
          <w:b w:val="false"/>
          <w:i w:val="false"/>
          <w:color w:val="000000"/>
          <w:sz w:val="22"/>
        </w:rPr>
        <w:t> </w:t>
      </w:r>
      <w:r>
        <w:rPr>
          <w:rFonts w:ascii="Times New Roman" w:hAnsi="Times New Roman"/>
          <w:b w:val="false"/>
          <w:i/>
          <w:color w:val="000000"/>
          <w:sz w:val="22"/>
        </w:rPr>
        <w:t xml:space="preserve">Consumer qualification for Lifeline. </w:t>
      </w:r>
      <w:r>
        <w:rPr>
          <w:rFonts w:ascii="Times New Roman" w:hAnsi="Times New Roman"/>
          <w:b w:val="false"/>
          <w:i w:val="false"/>
          <w:color w:val="000000"/>
          <w:sz w:val="22"/>
        </w:rPr>
        <w:t>To qualify for Lifeline, a consumer must meet the qualifications for Lifeline as specified in 47 CFR § 54.409. A consumer may only receive one Lifeline service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subscriber eligibility. </w:t>
      </w:r>
      <w:r>
        <w:rPr>
          <w:rFonts w:ascii="Times New Roman" w:hAnsi="Times New Roman"/>
          <w:b w:val="false"/>
          <w:i w:val="false"/>
          <w:color w:val="000000"/>
          <w:sz w:val="22"/>
        </w:rPr>
        <w:t>Until the national Lifeline eligibility verifier becomes responsible for the initial determination of Iowa consumers’ eligibility for Lifeline assistance, Iowa eligible telecommunications carriers are responsible for establishing consumer eligibility for Lifeline assistance. Iowa eligible telecommunications carriers shall ensure that their Lifeline subscribers are eligible to receive Lifeline services in accordance with 47 CFR § 54.410. Eligible telecommunications carriers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Implement policies and procedures for ensuring that their Lifeline subscribers are eligible to receive Lifeline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Confirm a subscriber’s income-based or program-based eligibility according to 47 CFR § 54.410(b) or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prospective subscribers Lifeline certification forms that comply with 47 CFR § 54.410(d);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Recertify all subscribers’ Lifeline eligibility in accordance with 47 CFR § 54.410(f) and (g).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39.6(5)</w:t>
      </w:r>
      <w:r>
        <w:rPr>
          <w:rFonts w:ascii="Times New Roman" w:hAnsi="Times New Roman"/>
          <w:b w:val="false"/>
          <w:i w:val="false"/>
          <w:color w:val="000000"/>
          <w:sz w:val="22"/>
        </w:rPr>
        <w:t> </w:t>
      </w:r>
      <w:r>
        <w:rPr>
          <w:rFonts w:ascii="Times New Roman" w:hAnsi="Times New Roman"/>
          <w:b w:val="false"/>
          <w:i/>
          <w:color w:val="000000"/>
          <w:sz w:val="22"/>
        </w:rPr>
        <w:t xml:space="preserve">Annual certifications by eligible telecommunications carriers. </w:t>
      </w:r>
      <w:r>
        <w:rPr>
          <w:rFonts w:ascii="Times New Roman" w:hAnsi="Times New Roman"/>
          <w:b w:val="false"/>
          <w:i w:val="false"/>
          <w:color w:val="000000"/>
          <w:sz w:val="22"/>
        </w:rPr>
        <w:t xml:space="preserve">Eligible telecommunications carriers shall make and submit to the Universal Service Administrative Company (USAC) annual certifications relating to the Lifeline program as required by 47 CFR § 54.416. Eligible telecommunications carriers shall file their annual Lifeline certifications with the commission as provided in </w:t>
      </w:r>
      <w:hyperlink r:id="rId20">
        <w:r>
          <w:rPr>
            <w:rStyle w:val="Hyperlink"/>
            <w:rFonts w:ascii="Times New Roman" w:hAnsi="Times New Roman"/>
            <w:b w:val="false"/>
            <w:i w:val="false"/>
            <w:color w:val="000000"/>
            <w:sz w:val="22"/>
          </w:rPr>
          <w:t>39.7(1)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if applicable, with the relevant tribal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39.6(6)</w:t>
      </w:r>
      <w:r>
        <w:rPr>
          <w:rFonts w:ascii="Times New Roman" w:hAnsi="Times New Roman"/>
          <w:b w:val="false"/>
          <w:i w:val="false"/>
          <w:color w:val="000000"/>
          <w:sz w:val="22"/>
        </w:rPr>
        <w:t> </w:t>
      </w:r>
      <w:r>
        <w:rPr>
          <w:rFonts w:ascii="Times New Roman" w:hAnsi="Times New Roman"/>
          <w:b w:val="false"/>
          <w:i/>
          <w:color w:val="000000"/>
          <w:sz w:val="22"/>
        </w:rPr>
        <w:t xml:space="preserve">Tribal Link Up. </w:t>
      </w:r>
      <w:r>
        <w:rPr>
          <w:rFonts w:ascii="Times New Roman" w:hAnsi="Times New Roman"/>
          <w:b w:val="false"/>
          <w:i w:val="false"/>
          <w:color w:val="000000"/>
          <w:sz w:val="22"/>
        </w:rPr>
        <w:t xml:space="preserve">A telecommunications carrier receiving high-cost support on tribal lands that is offering the Tribal Link Up assistance program, as defined in </w:t>
      </w:r>
      <w:hyperlink r:id="rId21">
        <w:r>
          <w:rPr>
            <w:rStyle w:val="Hyperlink"/>
            <w:rFonts w:ascii="Times New Roman" w:hAnsi="Times New Roman"/>
            <w:b w:val="false"/>
            <w:i w:val="false"/>
            <w:color w:val="000000"/>
            <w:sz w:val="22"/>
          </w:rPr>
          <w:t>199—39.2</w:t>
        </w:r>
      </w:hyperlink>
      <w:r>
        <w:rPr>
          <w:rFonts w:ascii="Times New Roman" w:hAnsi="Times New Roman"/>
          <w:b w:val="false"/>
          <w:i w:val="false"/>
          <w:color w:val="000000"/>
          <w:sz w:val="22"/>
        </w:rPr>
        <w:t>(476), to eligible residents of tribal lands, as defined in 47 CFR § 54.400(e), must provide (1) a 100 percent reduction of the customary connection charge for commencing service at a subscriber’s residence, and (2) a deferred schedule of interest-free payments for the connection charge, pursuant to 47 CFR § 54.413. Prior to enrolling an eligible resident of tribal lands in the Tribal Link Up program, an ETC must obtain from the resident a certification form that complies with 47 CFR § 54.410.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39.6(7)</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Eligible telecommunications carriers shall file with the commission finalized reports of audits involving the audited ETC’s operations in Iowa conducted pursuant to 47 CFR § 54.420 requiring low-income program audits. The audit reports will not be considered or deemed confidential. The audit reports shall be filed with the commission within 30 days of issuance of the final audit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199—39.7</w:t>
      </w:r>
      <w:r>
        <w:rPr>
          <w:rFonts w:ascii="Times New Roman" w:hAnsi="Times New Roman"/>
          <w:b/>
          <w:i w:val="false"/>
          <w:color w:val="000000"/>
          <w:sz w:val="22"/>
        </w:rPr>
        <w:t xml:space="preserve">(476) </w:t>
      </w:r>
      <w:r>
        <w:rPr>
          <w:rFonts w:ascii="Times New Roman" w:hAnsi="Times New Roman"/>
          <w:b/>
          <w:i w:val="false"/>
          <w:color w:val="000000"/>
          <w:sz w:val="22"/>
        </w:rPr>
        <w:t xml:space="preserve">Schedule of filings. </w:t>
      </w:r>
      <w:r>
        <w:rPr>
          <w:rFonts w:ascii="Times New Roman" w:hAnsi="Times New Roman"/>
          <w:b w:val="false"/>
          <w:i w:val="false"/>
          <w:color w:val="000000"/>
          <w:sz w:val="22"/>
        </w:rPr>
        <w:t>The filing requirements specified below apply only to filings that are not available to the commission through the Universal Service Administrative Company’s online filing portal or other means authorized by the FCC.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color w:val="000000"/>
          <w:sz w:val="22"/>
        </w:rPr>
        <w:t xml:space="preserve">Annual Lifeline compliance certifications.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FCC Form 555. </w:t>
      </w:r>
      <w:r>
        <w:rPr>
          <w:rFonts w:ascii="Times New Roman" w:hAnsi="Times New Roman"/>
          <w:b w:val="false"/>
          <w:i w:val="false"/>
          <w:color w:val="000000"/>
          <w:sz w:val="22"/>
        </w:rPr>
        <w:t>On or before January 31 of each year, or other date established by the Federal Communications Commission, each carrier designated by the commission as an eligible telecommunications carrier pursuant to 47 U.S.C. § 214(e) shall file with the commission the carrier’s certification of compliance with federal Lifeline rules filed with the Federal Communications Commission and the Universal Service Administrative Company pursuant to 47 CFR § 54.416 using FCC Form 555.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 instructions. </w:t>
      </w:r>
      <w:r>
        <w:rPr>
          <w:rFonts w:ascii="Times New Roman" w:hAnsi="Times New Roman"/>
          <w:b w:val="false"/>
          <w:i w:val="false"/>
          <w:color w:val="000000"/>
          <w:sz w:val="22"/>
        </w:rPr>
        <w:t xml:space="preserve">FCC Form 555 shall be filed using the commission’s electronic filing system in accordance with </w:t>
      </w:r>
      <w:hyperlink r:id="rId22">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unless the commission directs otherwise by order issued in advance of the filing deadline. The filing shall be titled “Annual Lifeline Eligible Telecommunications Carrier Certification,” with a reference to the year for which the certification is filed. The document title for the FCC form shall be “FCC Form 555 Filing.” The annual Lifeline compliance certifications are not subject to protection from public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color w:val="000000"/>
          <w:sz w:val="22"/>
        </w:rPr>
        <w:t xml:space="preserve">Annual eligible recovery certifications. </w:t>
      </w:r>
      <w:r>
        <w:rPr>
          <w:rFonts w:ascii="Times New Roman" w:hAnsi="Times New Roman"/>
          <w:b w:val="false"/>
          <w:i w:val="false"/>
          <w:color w:val="000000"/>
          <w:sz w:val="22"/>
        </w:rPr>
        <w:t>On or before the date on which carriers file their access tariffs with the FCC, each price cap and rate-of-return carrier designated by the commission as an eligible telecommunications carrier pursuant to 47 U.S.C. § 214(e) shall file with the commission certifications of eligible recovery amounts as follows, as required by 47 CFR § 54.304(c) and (d).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Price cap carriers. </w:t>
      </w:r>
      <w:r>
        <w:rPr>
          <w:rFonts w:ascii="Times New Roman" w:hAnsi="Times New Roman"/>
          <w:b w:val="false"/>
          <w:i w:val="false"/>
          <w:color w:val="000000"/>
          <w:sz w:val="22"/>
        </w:rPr>
        <w:t>Each price cap carrier designated by the commission as an ETC shall file with the commission the carrier’s certification to the FCC and USAC regarding the connect America fund intercarrier compensation support amount the carrier is eligible to recover pursuant to 47 CFR § 51.915 and the certification that the carrier is not seeking duplicative recovery in Iowa for any eligible recovery subject to the federal recovery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Rate-of-return carriers. </w:t>
      </w:r>
      <w:r>
        <w:rPr>
          <w:rFonts w:ascii="Times New Roman" w:hAnsi="Times New Roman"/>
          <w:b w:val="false"/>
          <w:i w:val="false"/>
          <w:color w:val="000000"/>
          <w:sz w:val="22"/>
        </w:rPr>
        <w:t>Each rate-of-return carrier designated by the commission as an ETC shall file with the commission the carrier’s certification to the FCC and USAC regarding the connect America fund intercarrier compensation support amount the carrier is eligible to recover pursuant to 47 CFR § 51.917 and the certification that the carrier is not seeking duplicative recovery in Iowa for any eligible recovery subject to the federal recovery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instructions. </w:t>
      </w:r>
      <w:r>
        <w:rPr>
          <w:rFonts w:ascii="Times New Roman" w:hAnsi="Times New Roman"/>
          <w:b w:val="false"/>
          <w:i w:val="false"/>
          <w:color w:val="000000"/>
          <w:sz w:val="22"/>
        </w:rPr>
        <w:t xml:space="preserve">The annual eligible recovery certifications shall be filed using the commission’s electronic filing system in accordance with </w:t>
      </w:r>
      <w:hyperlink r:id="rId23">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unless the commission directs otherwise by order issued in advance of the filing deadline. The filing shall be titled “Connect America Fund – Intercarrier Compensation Recovery and Certification,” with a reference to the year for which the certification is filed. The document title for the FCC form shall be “Annual Reporting Requirements for Section 54.304.”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to withhold from public inspection revenue recovery amounts and loop or line count data will be deemed granted as provided in 199—paragraph </w:t>
      </w:r>
      <w:hyperlink r:id="rId24">
        <w:r>
          <w:rPr>
            <w:rStyle w:val="Hyperlink"/>
            <w:rFonts w:ascii="Times New Roman" w:hAnsi="Times New Roman"/>
            <w:b w:val="false"/>
            <w:i w:val="false"/>
            <w:color w:val="000000"/>
            <w:sz w:val="22"/>
          </w:rPr>
          <w:t>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carrier considers other information filed on or with the annual Section 54.304 report to be confidential, the carrier shall file both a public version and a confidential version of the material pursuant to </w:t>
      </w:r>
      <w:hyperlink r:id="rId25">
        <w:r>
          <w:rPr>
            <w:rStyle w:val="Hyperlink"/>
            <w:rFonts w:ascii="Times New Roman" w:hAnsi="Times New Roman"/>
            <w:b w:val="false"/>
            <w:i w:val="false"/>
            <w:color w:val="000000"/>
            <w:sz w:val="22"/>
          </w:rPr>
          <w:t>199—14.12</w:t>
        </w:r>
      </w:hyperlink>
      <w:r>
        <w:rPr>
          <w:rFonts w:ascii="Times New Roman" w:hAnsi="Times New Roman"/>
          <w:b w:val="false"/>
          <w:i w:val="false"/>
          <w:color w:val="000000"/>
          <w:sz w:val="22"/>
        </w:rPr>
        <w:t xml:space="preserve">(17A,476), and a separate request for confidential treatment pursuant to </w:t>
      </w:r>
      <w:hyperlink r:id="rId26">
        <w:r>
          <w:rPr>
            <w:rStyle w:val="Hyperlink"/>
            <w:rFonts w:ascii="Times New Roman" w:hAnsi="Times New Roman"/>
            <w:b w:val="false"/>
            <w:i w:val="false"/>
            <w:color w:val="000000"/>
            <w:sz w:val="22"/>
          </w:rPr>
          <w:t>199—subrule 1.9</w:t>
        </w:r>
      </w:hyperlink>
      <w:r>
        <w:rPr>
          <w:rFonts w:ascii="Times New Roman" w:hAnsi="Times New Roman"/>
          <w:b w:val="false"/>
          <w:i w:val="false"/>
          <w:color w:val="000000"/>
          <w:sz w:val="22"/>
        </w:rPr>
        <w:t xml:space="preserve">(22) and Iowa Code section </w:t>
      </w:r>
      <w:hyperlink r:id="rId2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Where a request for confidential treatment of information filed on or with the Section 54.304 report is based on a protective order issued by the FCC, the carrier’s request for confidential treatment shall include a reference to the relevant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39.7(3)</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FCC Form 481. </w:t>
      </w:r>
      <w:r>
        <w:rPr>
          <w:rFonts w:ascii="Times New Roman" w:hAnsi="Times New Roman"/>
          <w:b w:val="false"/>
          <w:i w:val="false"/>
          <w:color w:val="000000"/>
          <w:sz w:val="22"/>
        </w:rPr>
        <w:t xml:space="preserve">On or before July 1 of each year, or other date established by the Federal Communications Commission, each carrier designated by the commission as an eligible telecommunications carrier pursuant to 47 U.S.C. § 214(e) for purposes of receiving Lifeline support only shall file with the commission the carrier’s annual report filed with the FCC pursuant to 47 CFR § 54.422(a) using FCC Form 481 or such other form designated by the FCC as the form for the annual report for ETCs.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FCC Form 690. </w:t>
      </w:r>
      <w:r>
        <w:rPr>
          <w:rFonts w:ascii="Times New Roman" w:hAnsi="Times New Roman"/>
          <w:b w:val="false"/>
          <w:i w:val="false"/>
          <w:color w:val="000000"/>
          <w:sz w:val="22"/>
        </w:rPr>
        <w:t>On or before July 1 of each year, or other date established by the Federal Communications Commission, each carrier designated by the commission as an eligible telecommunications carrier pursuant to 47 U.S.C. § 214(e) and that receives mobility fund support shall file with the commission the carrier’s annual report filed with the FCC pursuant to 47 CFR § 54.1009.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Annual certifications from carriers seeking to continue to receive high-cost support. </w:t>
      </w:r>
      <w:r>
        <w:rPr>
          <w:rFonts w:ascii="Times New Roman" w:hAnsi="Times New Roman"/>
          <w:b w:val="false"/>
          <w:i w:val="false"/>
          <w:color w:val="000000"/>
          <w:sz w:val="22"/>
        </w:rPr>
        <w:t>Any carrier seeking to continue to receive federal high-cost universal service support shall file with the commission no later than July 1 of each year an affidavit titled “Certification of [Company Name].” The company name shall be the name used on the carrier’s initial application for ETC designation and its current name, if its name has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Contents of affidavit. The affidavit shall include the study area code (SAC) number associated with the company. The affidavit shall be sworn and notarized and shall be executed by an authorized corporate officer. The affidavit shall certify that the carrier has used all federal high-cost support provided in the preceding calendar year and will use all federal high-cost support provided to the carrier in the coming calendar year received pursuant to 47 CFR Subchapter B, Part 54, Subparts D, K, L, and M, as defined in 47 CFR § 54.5, only for the provision, maintenance, and upgrading of facilities and services for which the support is intended. The affidavit shall also certify to the following: as an eligible telecommunications carrier, the carrier agrees to provide timely responses to commission requests for information related to the status of local markets for supported services, including local markets for supported voice and broadband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Certifications subject to complaint or investigation. Any certification filed by a carrier shall be subject to complaint or investigation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certification of eligibility. An ETC’s certification shall be the basis of the commission’s certification to the FCC and USAC pursuant to 47 CFR § 54.314 that the ETC has used and will use the support for the purposes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Filing instructions for annual report filings. </w:t>
      </w:r>
      <w:r>
        <w:rPr>
          <w:rFonts w:ascii="Times New Roman" w:hAnsi="Times New Roman"/>
          <w:b w:val="false"/>
          <w:i w:val="false"/>
          <w:color w:val="000000"/>
          <w:sz w:val="22"/>
        </w:rPr>
        <w:t xml:space="preserve">FCC Form 481 if Form 481 is required to be filed with the commission, the affidavit certifying compliance, and FCC Form 690 shall be filed using the commission’s electronic filing system in accordance with </w:t>
      </w:r>
      <w:hyperlink r:id="rId28">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unless the commission directs otherwise by order issued in advance of the filing deadline. The filing shall be titled “Annual Eligible Telecommunications Carrier Reporting Requirements,” with a reference to the year for which the report is filed. The document title for the FCC form shall be “FCC Form 481 Filing” or “FCC Form 690 Filing,” as appropriate. The document title for the affidavit certifying compliance shall be “Carrier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to withhold from public inspection financial reports and loop or line count data included in the rate floor data reports included in the annual report filings will be deemed granted as provided in </w:t>
      </w:r>
      <w:hyperlink r:id="rId29">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carrier considers other information filed on or with FCC Form 481 to be confidential, the carrier shall file both a public version and a confidential version of the material pursuant to </w:t>
      </w:r>
      <w:hyperlink r:id="rId30">
        <w:r>
          <w:rPr>
            <w:rStyle w:val="Hyperlink"/>
            <w:rFonts w:ascii="Times New Roman" w:hAnsi="Times New Roman"/>
            <w:b w:val="false"/>
            <w:i w:val="false"/>
            <w:color w:val="000000"/>
            <w:sz w:val="22"/>
          </w:rPr>
          <w:t>199—14.12</w:t>
        </w:r>
      </w:hyperlink>
      <w:r>
        <w:rPr>
          <w:rFonts w:ascii="Times New Roman" w:hAnsi="Times New Roman"/>
          <w:b w:val="false"/>
          <w:i w:val="false"/>
          <w:color w:val="000000"/>
          <w:sz w:val="22"/>
        </w:rPr>
        <w:t xml:space="preserve">(17A,476), and a separate request for confidential treatment pursuant to </w:t>
      </w:r>
      <w:hyperlink r:id="rId31">
        <w:r>
          <w:rPr>
            <w:rStyle w:val="Hyperlink"/>
            <w:rFonts w:ascii="Times New Roman" w:hAnsi="Times New Roman"/>
            <w:b w:val="false"/>
            <w:i w:val="false"/>
            <w:color w:val="000000"/>
            <w:sz w:val="22"/>
          </w:rPr>
          <w:t>199—1.9</w:t>
        </w:r>
      </w:hyperlink>
      <w:r>
        <w:rPr>
          <w:rFonts w:ascii="Times New Roman" w:hAnsi="Times New Roman"/>
          <w:b w:val="false"/>
          <w:i w:val="false"/>
          <w:color w:val="000000"/>
          <w:sz w:val="22"/>
        </w:rPr>
        <w:t xml:space="preserve">(22) and Iowa Code section </w:t>
      </w:r>
      <w:hyperlink r:id="rId3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Where a request for confidential treatment of information filed on or with FCC Form 481 is based on a protective order issued by the FCC, the carrier’s request for confidential treatment shall include a reference to the relevant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39.7(4)</w:t>
      </w:r>
      <w:r>
        <w:rPr>
          <w:rFonts w:ascii="Times New Roman" w:hAnsi="Times New Roman"/>
          <w:b w:val="false"/>
          <w:i w:val="false"/>
          <w:color w:val="000000"/>
          <w:sz w:val="22"/>
        </w:rPr>
        <w:t> </w:t>
      </w:r>
      <w:r>
        <w:rPr>
          <w:rFonts w:ascii="Times New Roman" w:hAnsi="Times New Roman"/>
          <w:b w:val="false"/>
          <w:i/>
          <w:color w:val="000000"/>
          <w:sz w:val="22"/>
        </w:rPr>
        <w:t xml:space="preserve">Rate floor data and rate floor data updates.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or before July 1 of each year, or other date established by the FCC, each carrier designated by the commission as an eligible telecommunications carrier pursuant to 47 U.S.C. § 214(e) that is subject to the FCC’s mandatory rate floor data reporting requirements in 47 CFR § 54.313(h)(1) shall file with the commission the annual rate floor data filed with the FCC. Carriers that are required to file or that elect to file rate floor data updates with the FCC on January 2 of each year pursuant to 47 CFR § 54.313(h)(2) shall also file the updates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instructions for rate floor data and rate floor data updates. The rate floor data and rate floor data updates shall be filed using the commission’s electronic filing system in accordance with </w:t>
      </w:r>
      <w:hyperlink r:id="rId33">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unless the commission directs otherwise by order issued in advance of the filing deadline. The filing shall be titled “FCC Section 54.313(h)(1) Rate Floor Data” or “FCC Section 54.313(h)(2) Rate Floor Data Update,” with a reference to the year for which the update is filed. The document title for the report shall be “Rate Floor Data” or “Rate Floor Data Update,”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to withhold from public inspection loop or line count data submitted as part of a rate floor data update will be deemed granted as provided in </w:t>
      </w:r>
      <w:hyperlink r:id="rId34">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carrier considers other information filed on or with a rate floor data update to be confidential, the carrier shall file both a public version and a confidential version of the material pursuant to </w:t>
      </w:r>
      <w:hyperlink r:id="rId35">
        <w:r>
          <w:rPr>
            <w:rStyle w:val="Hyperlink"/>
            <w:rFonts w:ascii="Times New Roman" w:hAnsi="Times New Roman"/>
            <w:b w:val="false"/>
            <w:i w:val="false"/>
            <w:color w:val="000000"/>
            <w:sz w:val="22"/>
          </w:rPr>
          <w:t>199—14.12</w:t>
        </w:r>
      </w:hyperlink>
      <w:r>
        <w:rPr>
          <w:rFonts w:ascii="Times New Roman" w:hAnsi="Times New Roman"/>
          <w:b w:val="false"/>
          <w:i w:val="false"/>
          <w:color w:val="000000"/>
          <w:sz w:val="22"/>
        </w:rPr>
        <w:t xml:space="preserve">(17A,476), and a separate request for confidential treatment pursuant to </w:t>
      </w:r>
      <w:hyperlink r:id="rId36">
        <w:r>
          <w:rPr>
            <w:rStyle w:val="Hyperlink"/>
            <w:rFonts w:ascii="Times New Roman" w:hAnsi="Times New Roman"/>
            <w:b w:val="false"/>
            <w:i w:val="false"/>
            <w:color w:val="000000"/>
            <w:sz w:val="22"/>
          </w:rPr>
          <w:t>199—subrule 1.9</w:t>
        </w:r>
      </w:hyperlink>
      <w:r>
        <w:rPr>
          <w:rFonts w:ascii="Times New Roman" w:hAnsi="Times New Roman"/>
          <w:b w:val="false"/>
          <w:i w:val="false"/>
          <w:color w:val="000000"/>
          <w:sz w:val="22"/>
        </w:rPr>
        <w:t xml:space="preserve">(22) and Iowa Code section </w:t>
      </w:r>
      <w:hyperlink r:id="rId3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Where a request for confidential treatment of information filed on or with a rate floor data update is based on a protective order issued by the FCC, the carrier’s request for confidential treatment shall include a reference to the relevant protective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199—39.8</w:t>
      </w:r>
      <w:r>
        <w:rPr>
          <w:rFonts w:ascii="Times New Roman" w:hAnsi="Times New Roman"/>
          <w:b/>
          <w:i w:val="false"/>
          <w:color w:val="000000"/>
          <w:sz w:val="22"/>
        </w:rPr>
        <w:t xml:space="preserve">(476) </w:t>
      </w:r>
      <w:r>
        <w:rPr>
          <w:rFonts w:ascii="Times New Roman" w:hAnsi="Times New Roman"/>
          <w:b/>
          <w:i w:val="false"/>
          <w:color w:val="000000"/>
          <w:sz w:val="22"/>
        </w:rPr>
        <w:t xml:space="preserve">Relinquishment of ETC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39.8(1)</w:t>
      </w:r>
      <w:r>
        <w:rPr>
          <w:rFonts w:ascii="Times New Roman" w:hAnsi="Times New Roman"/>
          <w:b w:val="false"/>
          <w:i w:val="false"/>
          <w:color w:val="000000"/>
          <w:sz w:val="22"/>
        </w:rPr>
        <w:t> </w:t>
      </w:r>
      <w:r>
        <w:rPr>
          <w:rFonts w:ascii="Times New Roman" w:hAnsi="Times New Roman"/>
          <w:b w:val="false"/>
          <w:i w:val="false"/>
          <w:color w:val="000000"/>
          <w:sz w:val="22"/>
        </w:rPr>
        <w:t>The commission may permit an eligible telecommunications carrier to relinquish its designation as such a carrier in any area served by more than one eligible telecommunications carrier. An eligible telecommunications carrier that seeks to relinquish its eligible telecommunications carrier designation for an area served by more than one eligible telecommunications carrier shall give 30 days’ advance notice to the commission of such relinquishment. A carrier that is granted ETC status in connection with a connect America fund Phase II auction or other similar conditional support mechanism but that ultimately does not receive the support shall, within 30 days after the Federal Communications Commission issues a public notice regarding the award of support, file a notice of relinquishment of the carrier’s designation for any service areas where the carrier is not awarded funds and does not plan to offer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w:t>
      </w:r>
      <w:r>
        <w:rPr>
          <w:rFonts w:ascii="Times New Roman" w:hAnsi="Times New Roman"/>
          <w:b w:val="false"/>
          <w:i w:val="false"/>
          <w:color w:val="000000"/>
          <w:sz w:val="22"/>
        </w:rPr>
        <w:t> </w:t>
      </w:r>
      <w:r>
        <w:rPr>
          <w:rFonts w:ascii="Times New Roman" w:hAnsi="Times New Roman"/>
          <w:b w:val="false"/>
          <w:i w:val="false"/>
          <w:color w:val="000000"/>
          <w:sz w:val="22"/>
        </w:rPr>
        <w:t>Prior to permitting a telecommunications carrier designated as an eligible telecommunications carrier to cease providing universal service in an area served by more than one eligible telecommunications carrier, the commission shall require the remaining eligible telecommunications carrier or carriers to ensure that all customers served by the relinquishing carrier will continue to be served and shall require sufficient notice to permit the purchase or construction of adequate facilities by any remaining eligible telecommunications carrier. The commission shall establish a time, not to exceed one year after the commission approves such relinquishment under this rule, within which such purchase or construction shall be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476.15</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476.102</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47 U.S.C. Section 214(e)</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9/5/97—published 9/24/97, effective 9/5/97]</w:t>
      </w:r>
    </w:p>
    <w:p>
      <w:pPr>
        <w:spacing w:before="0" w:after="0"/>
        <w:ind w:left="120"/>
        <w:jc w:val="center"/>
      </w:pPr>
      <w:r>
        <w:rPr>
          <w:rFonts w:ascii="Times New Roman" w:hAnsi="Times New Roman"/>
          <w:b w:val="false"/>
          <w:i w:val="false"/>
          <w:color w:val="000000"/>
          <w:sz w:val="21"/>
        </w:rPr>
        <w:t>[Filed emergency 12/11/97 after Notice 10/8/97—published 12/31/97, effective 1/1/98]</w:t>
      </w:r>
    </w:p>
    <w:p>
      <w:pPr>
        <w:spacing w:before="0" w:after="0"/>
        <w:ind w:left="120"/>
        <w:jc w:val="center"/>
      </w:pPr>
      <w:r>
        <w:rPr>
          <w:rFonts w:ascii="Times New Roman" w:hAnsi="Times New Roman"/>
          <w:b w:val="false"/>
          <w:i w:val="false"/>
          <w:color w:val="000000"/>
          <w:sz w:val="21"/>
        </w:rPr>
        <w:t>[Filed 1/8/98, Notice 9/24/97—published 1/28/98, effective 3/4/98]</w:t>
      </w:r>
    </w:p>
    <w:p>
      <w:pPr>
        <w:spacing w:before="0" w:after="0"/>
        <w:ind w:left="120"/>
        <w:jc w:val="center"/>
      </w:pPr>
      <w:r>
        <w:rPr>
          <w:rFonts w:ascii="Times New Roman" w:hAnsi="Times New Roman"/>
          <w:b w:val="false"/>
          <w:i w:val="false"/>
          <w:color w:val="000000"/>
          <w:sz w:val="21"/>
        </w:rPr>
        <w:t>[Filed emergency 12/19/01—published 1/9/02, effective 12/19/01]</w:t>
      </w:r>
    </w:p>
    <w:p>
      <w:pPr>
        <w:spacing w:before="0" w:after="0"/>
        <w:ind w:left="120"/>
        <w:jc w:val="center"/>
      </w:pPr>
      <w:r>
        <w:rPr>
          <w:rFonts w:ascii="Times New Roman" w:hAnsi="Times New Roman"/>
          <w:b w:val="false"/>
          <w:i w:val="false"/>
          <w:color w:val="000000"/>
          <w:sz w:val="21"/>
        </w:rPr>
        <w:t>[Filed 6/4/04, Notice 9/17/03—published 6/23/04, effective 7/28/04]</w:t>
      </w:r>
    </w:p>
    <w:p>
      <w:pPr>
        <w:spacing w:before="0" w:after="0"/>
        <w:ind w:left="120"/>
        <w:jc w:val="center"/>
      </w:pPr>
      <w:r>
        <w:rPr>
          <w:rFonts w:ascii="Times New Roman" w:hAnsi="Times New Roman"/>
          <w:b w:val="false"/>
          <w:i w:val="false"/>
          <w:color w:val="000000"/>
          <w:sz w:val="21"/>
        </w:rPr>
        <w:t>[Filed emergency 8/27/04—published 9/15/04, effective 8/27/04]</w:t>
      </w:r>
    </w:p>
    <w:p>
      <w:pPr>
        <w:spacing w:before="0" w:after="0"/>
        <w:ind w:left="120"/>
        <w:jc w:val="center"/>
      </w:pPr>
      <w:r>
        <w:rPr>
          <w:rFonts w:ascii="Times New Roman" w:hAnsi="Times New Roman"/>
          <w:b w:val="false"/>
          <w:i w:val="false"/>
          <w:color w:val="000000"/>
          <w:sz w:val="21"/>
        </w:rPr>
        <w:t>[Filed 4/22/05, Notice 3/2/05—published 5/11/05, effective 6/15/05]</w:t>
      </w:r>
    </w:p>
    <w:p>
      <w:pPr>
        <w:spacing w:before="0" w:after="0"/>
        <w:ind w:left="120"/>
        <w:jc w:val="center"/>
      </w:pPr>
      <w:r>
        <w:rPr>
          <w:rFonts w:ascii="Times New Roman" w:hAnsi="Times New Roman"/>
          <w:b w:val="false"/>
          <w:i w:val="false"/>
          <w:color w:val="000000"/>
          <w:sz w:val="21"/>
        </w:rPr>
        <w:t>[Filed 10/21/05, Notice 3/16/05—published 11/9/05, effective 12/14/05]</w:t>
      </w:r>
    </w:p>
    <w:p>
      <w:pPr>
        <w:spacing w:before="0" w:after="0"/>
        <w:ind w:left="120"/>
        <w:jc w:val="center"/>
      </w:pPr>
      <w:r>
        <w:rPr>
          <w:rFonts w:ascii="Times New Roman" w:hAnsi="Times New Roman"/>
          <w:b w:val="false"/>
          <w:i w:val="false"/>
          <w:color w:val="000000"/>
          <w:sz w:val="21"/>
        </w:rPr>
        <w:t>[Filed 10/6/06, Notice 3/15/06—published 10/25/06, effective 11/29/06]</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1899C</w:t>
      </w:r>
      <w:r>
        <w:rPr>
          <w:rFonts w:ascii="Times New Roman" w:hAnsi="Times New Roman"/>
          <w:b w:val="false"/>
          <w:i w:val="false"/>
          <w:color w:val="000000"/>
          <w:sz w:val="21"/>
        </w:rPr>
        <w:t xml:space="preserve"> (Notice ARC 1563C, IAB 8/6/14)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4254C</w:t>
      </w:r>
      <w:r>
        <w:rPr>
          <w:rFonts w:ascii="Times New Roman" w:hAnsi="Times New Roman"/>
          <w:b w:val="false"/>
          <w:i w:val="false"/>
          <w:color w:val="000000"/>
          <w:sz w:val="21"/>
        </w:rPr>
        <w:t xml:space="preserve"> (Notice ARC 3753C, IAB 4/25/18)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co/chapter/476.2.pdf" Type="http://schemas.openxmlformats.org/officeDocument/2006/relationships/hyperlink" Id="rId6"/>
    <Relationship TargetMode="External" Target="https://www.legis.iowa.gov/docs/ico/chapter/476.15.pdf" Type="http://schemas.openxmlformats.org/officeDocument/2006/relationships/hyperlink" Id="rId7"/>
    <Relationship TargetMode="External" Target="https://www.legis.iowa.gov/docs/ico/chapter/476.102.pdf" Type="http://schemas.openxmlformats.org/officeDocument/2006/relationships/hyperlink" Id="rId8"/>
    <Relationship TargetMode="External" Target="https://www.legis.iowa.gov/docs/iac/rule/199.39.2.pdf" Type="http://schemas.openxmlformats.org/officeDocument/2006/relationships/hyperlink" Id="rId9"/>
    <Relationship TargetMode="External" Target="https://www.legis.iowa.gov/docs/iac/rule/199.1.9.pdf" Type="http://schemas.openxmlformats.org/officeDocument/2006/relationships/hyperlink" Id="rId10"/>
    <Relationship TargetMode="External" Target="https://www.legis.iowa.gov/docs/iac/chapter/199.6.pdf" Type="http://schemas.openxmlformats.org/officeDocument/2006/relationships/hyperlink" Id="rId11"/>
    <Relationship TargetMode="External" Target="https://www.legis.iowa.gov/docs/iac/rule/199.39.3.pdf" Type="http://schemas.openxmlformats.org/officeDocument/2006/relationships/hyperlink" Id="rId12"/>
    <Relationship TargetMode="External" Target="https://www.legis.iowa.gov/docs/iac/chapter/199.6.pdf" Type="http://schemas.openxmlformats.org/officeDocument/2006/relationships/hyperlink" Id="rId13"/>
    <Relationship TargetMode="External" Target="https://www.legis.iowa.gov/docs/iac/rule/199.39.3.pdf" Type="http://schemas.openxmlformats.org/officeDocument/2006/relationships/hyperlink" Id="rId14"/>
    <Relationship TargetMode="External" Target="https://www.legis.iowa.gov/docs/iac/rule/199.39.8.pdf" Type="http://schemas.openxmlformats.org/officeDocument/2006/relationships/hyperlink" Id="rId15"/>
    <Relationship TargetMode="External" Target="https://www.legis.iowa.gov/docs/iac/rule/199.39.8.pdf" Type="http://schemas.openxmlformats.org/officeDocument/2006/relationships/hyperlink" Id="rId16"/>
    <Relationship TargetMode="External" Target="https://www.legis.iowa.gov/docs/iac/rule/199.39.3.pdf" Type="http://schemas.openxmlformats.org/officeDocument/2006/relationships/hyperlink" Id="rId17"/>
    <Relationship TargetMode="External" Target="https://www.legis.iowa.gov/docs/iac/rule/199.39.3.pdf" Type="http://schemas.openxmlformats.org/officeDocument/2006/relationships/hyperlink" Id="rId18"/>
    <Relationship TargetMode="External" Target="https://www.legis.iowa.gov/docs/iac/rule/199.39.3.pdf" Type="http://schemas.openxmlformats.org/officeDocument/2006/relationships/hyperlink" Id="rId19"/>
    <Relationship TargetMode="External" Target="https://www.legis.iowa.gov/docs/iac/rule/199.39.7.pdf" Type="http://schemas.openxmlformats.org/officeDocument/2006/relationships/hyperlink" Id="rId20"/>
    <Relationship TargetMode="External" Target="https://www.legis.iowa.gov/docs/iac/rule/199.39.2.pdf" Type="http://schemas.openxmlformats.org/officeDocument/2006/relationships/hyperlink" Id="rId21"/>
    <Relationship TargetMode="External" Target="https://www.legis.iowa.gov/docs/iac/chapter/199.14.pdf" Type="http://schemas.openxmlformats.org/officeDocument/2006/relationships/hyperlink" Id="rId22"/>
    <Relationship TargetMode="External" Target="https://www.legis.iowa.gov/docs/iac/chapter/199.14.pdf" Type="http://schemas.openxmlformats.org/officeDocument/2006/relationships/hyperlink" Id="rId23"/>
    <Relationship TargetMode="External" Target="https://www.legis.iowa.gov/docs/iac/rule/199.1.9.pdf" Type="http://schemas.openxmlformats.org/officeDocument/2006/relationships/hyperlink" Id="rId24"/>
    <Relationship TargetMode="External" Target="https://www.legis.iowa.gov/docs/iac/rule/199.14.12.pdf" Type="http://schemas.openxmlformats.org/officeDocument/2006/relationships/hyperlink" Id="rId25"/>
    <Relationship TargetMode="External" Target="https://www.legis.iowa.gov/docs/iac/rule/199.1.9.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ac/chapter/199.14.pdf" Type="http://schemas.openxmlformats.org/officeDocument/2006/relationships/hyperlink" Id="rId28"/>
    <Relationship TargetMode="External" Target="https://www.legis.iowa.gov/docs/iac/rule/199.1.9.pdf" Type="http://schemas.openxmlformats.org/officeDocument/2006/relationships/hyperlink" Id="rId29"/>
    <Relationship TargetMode="External" Target="https://www.legis.iowa.gov/docs/iac/rule/199.14.12.pdf" Type="http://schemas.openxmlformats.org/officeDocument/2006/relationships/hyperlink" Id="rId30"/>
    <Relationship TargetMode="External" Target="https://www.legis.iowa.gov/docs/iac/rule/199.1.9.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ac/chapter/199.14.pdf" Type="http://schemas.openxmlformats.org/officeDocument/2006/relationships/hyperlink" Id="rId33"/>
    <Relationship TargetMode="External" Target="https://www.legis.iowa.gov/docs/iac/rule/199.1.9.pdf" Type="http://schemas.openxmlformats.org/officeDocument/2006/relationships/hyperlink" Id="rId34"/>
    <Relationship TargetMode="External" Target="https://www.legis.iowa.gov/docs/iac/rule/199.14.12.pdf" Type="http://schemas.openxmlformats.org/officeDocument/2006/relationships/hyperlink" Id="rId35"/>
    <Relationship TargetMode="External" Target="https://www.legis.iowa.gov/docs/iac/rule/199.1.9.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s://www.legis.iowa.gov/docs/ico/chapter/17A.4.pdf" Type="http://schemas.openxmlformats.org/officeDocument/2006/relationships/hyperlink" Id="rId38"/>
    <Relationship TargetMode="External" Target="https://www.legis.iowa.gov/docs/ico/chapter/476.2.pdf" Type="http://schemas.openxmlformats.org/officeDocument/2006/relationships/hyperlink" Id="rId39"/>
    <Relationship TargetMode="External" Target="https://www.legis.iowa.gov/docs/ico/chapter/476.15.pdf" Type="http://schemas.openxmlformats.org/officeDocument/2006/relationships/hyperlink" Id="rId40"/>
    <Relationship TargetMode="External" Target="https://www.legis.iowa.gov/docs/ico/chapter/476.102.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