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w:t>
      </w:r>
    </w:p>
    <w:p>
      <w:pPr>
        <w:spacing w:before="0" w:after="0"/>
        <w:ind w:left="120"/>
        <w:jc w:val="center"/>
      </w:pPr>
      <w:r>
        <w:rPr>
          <w:rFonts w:ascii="Times New Roman" w:hAnsi="Times New Roman"/>
          <w:b w:val="false"/>
          <w:i w:val="false"/>
          <w:color w:val="000000"/>
          <w:sz w:val="21"/>
        </w:rPr>
        <w:t>IOWA ELECTRICAL SAFETY CODE</w:t>
      </w:r>
    </w:p>
    <w:p>
      <w:pPr>
        <w:spacing w:before="0" w:after="0"/>
        <w:ind w:left="120"/>
        <w:jc w:val="center"/>
      </w:pPr>
      <w:r>
        <w:rPr>
          <w:rFonts w:ascii="Times New Roman" w:hAnsi="Times New Roman"/>
          <w:b w:val="false"/>
          <w:i w:val="false"/>
          <w:color w:val="000000"/>
          <w:sz w:val="14"/>
        </w:rPr>
        <w:t>[Prior to 10/8/86, Commerce Commission[250]]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199—25.1</w:t>
      </w:r>
      <w:r>
        <w:rPr>
          <w:rFonts w:ascii="Times New Roman" w:hAnsi="Times New Roman"/>
          <w:b/>
          <w:i w:val="false"/>
          <w:color w:val="000000"/>
          <w:sz w:val="22"/>
        </w:rPr>
        <w:t xml:space="preserve">(476,476A,478) </w:t>
      </w:r>
      <w:r>
        <w:rPr>
          <w:rFonts w:ascii="Times New Roman" w:hAnsi="Times New Roman"/>
          <w:b/>
          <w:i w:val="false"/>
          <w:color w:val="000000"/>
          <w:sz w:val="22"/>
        </w:rPr>
        <w:t xml:space="preserve">General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25.1(1)</w:t>
      </w: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The standards relating to electric and communication facilities in this chapter are prescribed by the Iowa utilities commission pursuant to Iowa Code sections </w:t>
      </w:r>
      <w:hyperlink r:id="rId5">
        <w:r>
          <w:rPr>
            <w:rStyle w:val="Hyperlink"/>
            <w:rFonts w:ascii="Times New Roman" w:hAnsi="Times New Roman"/>
            <w:b w:val="false"/>
            <w:i w:val="false"/>
            <w:color w:val="000000"/>
            <w:sz w:val="22"/>
          </w:rPr>
          <w:t>476.1</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476.1B</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476A.12</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478.19</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478.20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25.1(2)</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purpose of this chapter is to promote safe and adequate service to the public, to provide standards for uniform and reasonable practices by utilities, and to establish a basis for determining the reasonableness of such demands as may be made by the public upon the utilities. The rules apply to electric and communication utility facilities located in the state of Iowa and shall supersede all conflicting rules of any such utility. This rule shall in no way relieve any utility from any of its duties under the laws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25.1(3)</w:t>
      </w:r>
      <w:r>
        <w:rPr>
          <w:rFonts w:ascii="Times New Roman" w:hAnsi="Times New Roman"/>
          <w:b w:val="false"/>
          <w:i w:val="false"/>
          <w:color w:val="000000"/>
          <w:sz w:val="22"/>
        </w:rPr>
        <w:t> </w:t>
      </w:r>
      <w:r>
        <w:rPr>
          <w:rFonts w:ascii="Times New Roman" w:hAnsi="Times New Roman"/>
          <w:b w:val="false"/>
          <w:i/>
          <w:color w:val="000000"/>
          <w:sz w:val="22"/>
        </w:rPr>
        <w:t xml:space="preserve">Definition of utility. </w:t>
      </w:r>
      <w:r>
        <w:rPr>
          <w:rFonts w:ascii="Times New Roman" w:hAnsi="Times New Roman"/>
          <w:b w:val="false"/>
          <w:i w:val="false"/>
          <w:color w:val="000000"/>
          <w:sz w:val="22"/>
        </w:rPr>
        <w:t>For the purpose of this chapter, a utility is any owner or operator of electric or communications facilities subject to the safety jurisdiction of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9501B</w:t>
      </w:r>
      <w:r>
        <w:rPr>
          <w:rFonts w:ascii="Times New Roman" w:hAnsi="Times New Roman"/>
          <w:b w:val="false"/>
          <w:i w:val="false"/>
          <w:color w:val="000000"/>
          <w:sz w:val="16"/>
        </w:rPr>
        <w:t>, IAB 5/18/11, effective 6/22/11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199—25.2</w:t>
      </w:r>
      <w:r>
        <w:rPr>
          <w:rFonts w:ascii="Times New Roman" w:hAnsi="Times New Roman"/>
          <w:b/>
          <w:i w:val="false"/>
          <w:color w:val="000000"/>
          <w:sz w:val="22"/>
        </w:rPr>
        <w:t xml:space="preserve">(476,476A,478) </w:t>
      </w:r>
      <w:r>
        <w:rPr>
          <w:rFonts w:ascii="Times New Roman" w:hAnsi="Times New Roman"/>
          <w:b/>
          <w:i w:val="false"/>
          <w:color w:val="000000"/>
          <w:sz w:val="22"/>
        </w:rPr>
        <w:t xml:space="preserve">Iowa electrical safety code defined. </w:t>
      </w:r>
      <w:r>
        <w:rPr>
          <w:rFonts w:ascii="Times New Roman" w:hAnsi="Times New Roman"/>
          <w:b w:val="false"/>
          <w:i w:val="false"/>
          <w:color w:val="000000"/>
          <w:sz w:val="22"/>
        </w:rPr>
        <w:t>The standard minimum requirements for the installation and maintenance of electric substations, generating stations, and overhead and underground electric supply or communications lines adopted below, collectively constitute the “Iowa Electrical Safety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25.2(1)</w:t>
      </w:r>
      <w:r>
        <w:rPr>
          <w:rFonts w:ascii="Times New Roman" w:hAnsi="Times New Roman"/>
          <w:b w:val="false"/>
          <w:i w:val="false"/>
          <w:color w:val="000000"/>
          <w:sz w:val="22"/>
        </w:rPr>
        <w:t> </w:t>
      </w:r>
      <w:r>
        <w:rPr>
          <w:rFonts w:ascii="Times New Roman" w:hAnsi="Times New Roman"/>
          <w:b w:val="false"/>
          <w:i/>
          <w:color w:val="000000"/>
          <w:sz w:val="22"/>
        </w:rPr>
        <w:t xml:space="preserve">National Electrical Safety Code. </w:t>
      </w:r>
      <w:r>
        <w:rPr>
          <w:rFonts w:ascii="Times New Roman" w:hAnsi="Times New Roman"/>
          <w:b w:val="false"/>
          <w:i w:val="false"/>
          <w:color w:val="000000"/>
          <w:sz w:val="22"/>
        </w:rPr>
        <w:t>The American National Standards Institute (ANSI) C2-2017, “National Electrical Safety Code” (NESC), including issued Correction Sheets, is adopted as part of the Iowa electrical safety code, except Part 4, “Rules for Operation of Electric Supply and Communications Lines and Equipment,” which is not adopted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25.2(2)</w:t>
      </w:r>
      <w:r>
        <w:rPr>
          <w:rFonts w:ascii="Times New Roman" w:hAnsi="Times New Roman"/>
          <w:b w:val="false"/>
          <w:i w:val="false"/>
          <w:color w:val="000000"/>
          <w:sz w:val="22"/>
        </w:rPr>
        <w:t> </w:t>
      </w:r>
      <w:r>
        <w:rPr>
          <w:rFonts w:ascii="Times New Roman" w:hAnsi="Times New Roman"/>
          <w:b w:val="false"/>
          <w:i/>
          <w:color w:val="000000"/>
          <w:sz w:val="22"/>
        </w:rPr>
        <w:t xml:space="preserve">Modifications and qualifications to the NESC. </w:t>
      </w:r>
      <w:r>
        <w:rPr>
          <w:rFonts w:ascii="Times New Roman" w:hAnsi="Times New Roman"/>
          <w:b w:val="false"/>
          <w:i w:val="false"/>
          <w:color w:val="000000"/>
          <w:sz w:val="22"/>
        </w:rPr>
        <w:t>The standards set forth in the NESC are modified or qualified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Introduction to the National Electrical Safety Code. NESC 013A2 is modified to read as follows: “Types of construction and methods of installation other than those specified in the rules may be used experimentally to obtain information, if done where:</w:t>
      </w:r>
    </w:p>
    <w:p>
      <w:pPr>
        <w:spacing w:before="0" w:after="0"/>
        <w:ind w:left="120"/>
        <w:jc w:val="both"/>
      </w:pPr>
      <w:r>
        <w:rPr>
          <w:rFonts w:ascii="Times New Roman" w:hAnsi="Times New Roman"/>
          <w:b w:val="false"/>
          <w:i w:val="false"/>
          <w:color w:val="000000"/>
          <w:sz w:val="22"/>
        </w:rPr>
        <w:t>“1.</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Qualified supervision is provided,</w:t>
      </w:r>
    </w:p>
    <w:p>
      <w:pPr>
        <w:spacing w:before="0" w:after="0"/>
        <w:ind w:left="120"/>
        <w:jc w:val="both"/>
      </w:pPr>
      <w:r>
        <w:rPr>
          <w:rFonts w:ascii="Times New Roman" w:hAnsi="Times New Roman"/>
          <w:b w:val="false"/>
          <w:i w:val="false"/>
          <w:color w:val="000000"/>
          <w:sz w:val="22"/>
        </w:rPr>
        <w:t>“2.</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Equivalent safety is provided,</w:t>
      </w:r>
    </w:p>
    <w:p>
      <w:pPr>
        <w:spacing w:before="0" w:after="0"/>
        <w:ind w:left="120"/>
        <w:jc w:val="both"/>
      </w:pPr>
      <w:r>
        <w:rPr>
          <w:rFonts w:ascii="Times New Roman" w:hAnsi="Times New Roman"/>
          <w:b w:val="false"/>
          <w:i w:val="false"/>
          <w:color w:val="000000"/>
          <w:sz w:val="22"/>
        </w:rPr>
        <w:t>“3.</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joint-use facilities, all joint users are notified in a timely manner, and</w:t>
      </w:r>
    </w:p>
    <w:p>
      <w:pPr>
        <w:spacing w:before="0" w:after="0"/>
        <w:ind w:left="120"/>
        <w:jc w:val="both"/>
      </w:pPr>
      <w:r>
        <w:rPr>
          <w:rFonts w:ascii="Times New Roman" w:hAnsi="Times New Roman"/>
          <w:b w:val="false"/>
          <w:i w:val="false"/>
          <w:color w:val="000000"/>
          <w:sz w:val="22"/>
        </w:rPr>
        <w:t>“4.</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Prior approval is obtained from the Iowa utilities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Minimum clearances.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 any instance where minimum clearances are provided in Iowa Code chapter </w:t>
      </w:r>
      <w:hyperlink r:id="rId11">
        <w:r>
          <w:rPr>
            <w:rStyle w:val="Hyperlink"/>
            <w:rFonts w:ascii="Times New Roman" w:hAnsi="Times New Roman"/>
            <w:b w:val="false"/>
            <w:i w:val="false"/>
            <w:color w:val="000000"/>
            <w:sz w:val="22"/>
          </w:rPr>
          <w:t>478</w:t>
        </w:r>
      </w:hyperlink>
      <w:r>
        <w:rPr>
          <w:rFonts w:ascii="Times New Roman" w:hAnsi="Times New Roman"/>
          <w:b w:val="false"/>
          <w:i w:val="false"/>
          <w:color w:val="000000"/>
          <w:sz w:val="22"/>
        </w:rPr>
        <w:t xml:space="preserve"> which are greater than otherwise required by these rules, the statutory clearances shall prevail.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following clearances shall apply to all lines regardless of date of construction: NESC 232, vertical clearances for “Water areas not suitable for sailboating or where sailboating is prohibited,” “Water areas suitable for sailboating</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and “Established boat ramps and associated rigging areas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and NESC 234E, “Clearance of Wires, Conductors, Cables or Unguarded Rigid Live Parts Installed Over or Near Swimming Areas With No Wind Displacement.”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Table 232-1, Footnote 21, is changed to read: “Where the U.S. Army Corps of Engineers or the state, or a surrogate thereof, issues a crossing permit, the clearances of that permit shall govern if equal to or greater than those required herein. Where the permit clearances are less than those required herein and water surface use restrictions on vessel heights are enforced, the permit clearances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Except for clearances near grain bins, for measurements made under field conditions, the commission will consider compliance with the overhead vertical line clearance requirements of Subsection 232 and Table 232-1 of the 1987 NESC indicative of compliance with the 1990 through 2017 editions of the NESC. (For an explanation of the differences between 1987 and subsequent code edition clearances, see Appendix A of the 1990 through 2017 editions of the NESC.)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Rule 217C1 is changed to read:</w:t>
      </w:r>
    </w:p>
    <w:p>
      <w:pPr>
        <w:spacing w:before="0" w:after="0"/>
        <w:ind w:left="120"/>
        <w:jc w:val="both"/>
      </w:pPr>
      <w:r>
        <w:rPr>
          <w:rFonts w:ascii="Times New Roman" w:hAnsi="Times New Roman"/>
          <w:b w:val="false"/>
          <w:i w:val="false"/>
          <w:color w:val="000000"/>
          <w:sz w:val="22"/>
        </w:rPr>
        <w:t>“The ground end of anchor guys exposed to pedestrian or vehicle traffic shall be provided with a substantial marker not less than eight feet long. The guy marker shall be of a conspicuous color such as yellow, orange, or red. Green, white, gray or galvanized steel colors are not reliably conspicuous against plant growth, snow, or other surroundings. Noncomplying guy markers shall be replaced as part of the utility’s inspection and maintenance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There is added to Rule 381G: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Pad-mounted and other aboveground equipment not located within a fenced or otherwise protected area shall have affixed to its outside access door or cover a prominent “Warning” or other appropriate sign of highly visible color, warning of hazardous voltage and including the name of the utility. This rule shall apply to all signs placed or replaced after June 18, 2003.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There is added to the first paragraph of Rule 110A1, after the sentence stating, “Entrances not under observation of an authorized attendant shall be kept locked,” the following sentences:</w:t>
      </w:r>
    </w:p>
    <w:p>
      <w:pPr>
        <w:spacing w:before="0" w:after="0"/>
        <w:ind w:left="120"/>
        <w:jc w:val="both"/>
      </w:pPr>
      <w:r>
        <w:rPr>
          <w:rFonts w:ascii="Times New Roman" w:hAnsi="Times New Roman"/>
          <w:b w:val="false"/>
          <w:i w:val="false"/>
          <w:color w:val="000000"/>
          <w:sz w:val="22"/>
        </w:rPr>
        <w:t>Entrances may be unlocked while authorized personnel are inside. However, if unlocked, the entrance gate must be fully closed, and must also be latched or fastened if there is a gate-latching mechanism.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Lines crossing railroad tracks shall comply with the additional requirements of </w:t>
      </w:r>
      <w:hyperlink r:id="rId12">
        <w:r>
          <w:rPr>
            <w:rStyle w:val="Hyperlink"/>
            <w:rFonts w:ascii="Times New Roman" w:hAnsi="Times New Roman"/>
            <w:b w:val="false"/>
            <w:i w:val="false"/>
            <w:color w:val="000000"/>
            <w:sz w:val="22"/>
          </w:rPr>
          <w:t>199 IAC 42.6(476)</w:t>
        </w:r>
      </w:hyperlink>
      <w:r>
        <w:rPr>
          <w:rFonts w:ascii="Times New Roman" w:hAnsi="Times New Roman"/>
          <w:b w:val="false"/>
          <w:i w:val="false"/>
          <w:color w:val="000000"/>
          <w:sz w:val="22"/>
        </w:rPr>
        <w:t>, “Engineering standards for electric and communications 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25.2(3)</w:t>
      </w:r>
      <w:r>
        <w:rPr>
          <w:rFonts w:ascii="Times New Roman" w:hAnsi="Times New Roman"/>
          <w:b w:val="false"/>
          <w:i w:val="false"/>
          <w:color w:val="000000"/>
          <w:sz w:val="22"/>
        </w:rPr>
        <w:t> </w:t>
      </w:r>
      <w:r>
        <w:rPr>
          <w:rFonts w:ascii="Times New Roman" w:hAnsi="Times New Roman"/>
          <w:b w:val="false"/>
          <w:i/>
          <w:color w:val="000000"/>
          <w:sz w:val="22"/>
        </w:rPr>
        <w:t xml:space="preserve">Grain bins.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Electric utilities shall conduct or participate in annual public information campaigns to inform farmers, farm lenders, grain bin merchants, and city and county zoning officials of the hazards of and standards for construction of grain bins near power lines.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electric utility may refuse to provide electric service to any grain bin built near an existing electric line which does not provide the clearances required by the American National Standards Institute (ANSI) C2-2017 “National Electrical Safety Code,” Rule 234F. This paragraph </w:t>
      </w:r>
      <w:r>
        <w:rPr>
          <w:rFonts w:ascii="Times New Roman" w:hAnsi="Times New Roman"/>
          <w:b w:val="false"/>
          <w:i/>
          <w:color w:val="000000"/>
          <w:sz w:val="22"/>
        </w:rPr>
        <w:t>“b”</w:t>
      </w:r>
      <w:r>
        <w:rPr>
          <w:rFonts w:ascii="Times New Roman" w:hAnsi="Times New Roman"/>
          <w:b w:val="false"/>
          <w:i w:val="false"/>
          <w:color w:val="000000"/>
          <w:sz w:val="22"/>
        </w:rPr>
        <w:t xml:space="preserve"> shall apply only to grain bins loaded by portable augers, conveyors or elevators and built after September 9, 1992, or to grain bins loaded by permanently installed augers, conveyors, or elevator systems installed after December 24, 1997.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25.2(4)</w:t>
      </w:r>
      <w:r>
        <w:rPr>
          <w:rFonts w:ascii="Times New Roman" w:hAnsi="Times New Roman"/>
          <w:b w:val="false"/>
          <w:i w:val="false"/>
          <w:color w:val="000000"/>
          <w:sz w:val="22"/>
        </w:rPr>
        <w:t> </w:t>
      </w:r>
      <w:r>
        <w:rPr>
          <w:rFonts w:ascii="Times New Roman" w:hAnsi="Times New Roman"/>
          <w:b w:val="false"/>
          <w:i/>
          <w:color w:val="000000"/>
          <w:sz w:val="22"/>
        </w:rPr>
        <w:t xml:space="preserve">General rules.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Joint-use construction. </w:t>
      </w:r>
      <w:r>
        <w:rPr>
          <w:rFonts w:ascii="Times New Roman" w:hAnsi="Times New Roman"/>
          <w:b w:val="false"/>
          <w:i w:val="false"/>
          <w:color w:val="000000"/>
          <w:sz w:val="22"/>
        </w:rPr>
        <w:t>Where it is mutually agreeable between an electric utility and a communication or cable television company, communication circuits or cables may be buried in the same trench or attached to the same supporting structure, provided this joint use is permitted by, and is constructed in compliance with, the Iowa electrical safety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Lines. </w:t>
      </w:r>
      <w:r>
        <w:rPr>
          <w:rFonts w:ascii="Times New Roman" w:hAnsi="Times New Roman"/>
          <w:b w:val="false"/>
          <w:i w:val="false"/>
          <w:color w:val="000000"/>
          <w:sz w:val="22"/>
        </w:rPr>
        <w:t>In order to limit the residual currents and voltages arising from line unbalances, the resistance, inductance, capacitance and leakage conductance of each phase conductor of an electric supply circuit in any section shall be as nearly equal as practical to the corresponding quantities in the other phase conductors in the same section.</w:t>
      </w:r>
    </w:p>
    <w:p>
      <w:pPr>
        <w:spacing w:before="0" w:after="0"/>
        <w:ind w:left="120"/>
        <w:jc w:val="both"/>
      </w:pPr>
      <w:r>
        <w:rPr>
          <w:rFonts w:ascii="Times New Roman" w:hAnsi="Times New Roman"/>
          <w:b w:val="false"/>
          <w:i w:val="false"/>
          <w:color w:val="000000"/>
          <w:sz w:val="22"/>
        </w:rPr>
        <w:t>The ampacity of a multigrounded neutral conductor of an electric supply circuit shall be adequate for the load which it is required to carry. The ampacity of a multigrounded neutral conductor of an electric supply circuit shall not be less than 60 percent of that of any phase conductor with which it is associated, except for three phase four wire wye circuits where it shall have ampacity not less than 50 percent of that of any associated phase conductor. In no case shall the resistance of a multigrounded neutral conductor exceed 3.6 ohms per mile. (This does not modify the mechanical strength requirements for conductors.) A multigrounded conductor installed and utilized primarily for lightning shielding of the associated phase conductors need not comply with the above percentage ampacity requirements for neutral conductors.</w:t>
      </w:r>
    </w:p>
    <w:p>
      <w:pPr>
        <w:spacing w:before="0" w:after="0"/>
        <w:ind w:left="120"/>
        <w:jc w:val="both"/>
      </w:pPr>
      <w:r>
        <w:rPr>
          <w:rFonts w:ascii="Times New Roman" w:hAnsi="Times New Roman"/>
          <w:b w:val="false"/>
          <w:i w:val="false"/>
          <w:color w:val="000000"/>
          <w:sz w:val="22"/>
        </w:rPr>
        <w:t>Where the neutral conductor of the electric supply circuit is not multigrounded or in an inductive exposure involving communication or signal circuits and equipment where the controlling frequencies are 360 Hertz or lower, any neutral conductor shall have the same ampacity as the phase conductors with which it is associated.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25.2(5)</w:t>
      </w:r>
      <w:r>
        <w:rPr>
          <w:rFonts w:ascii="Times New Roman" w:hAnsi="Times New Roman"/>
          <w:b w:val="false"/>
          <w:i w:val="false"/>
          <w:color w:val="000000"/>
          <w:sz w:val="22"/>
        </w:rPr>
        <w:t> </w:t>
      </w:r>
      <w:r>
        <w:rPr>
          <w:rFonts w:ascii="Times New Roman" w:hAnsi="Times New Roman"/>
          <w:b w:val="false"/>
          <w:i/>
          <w:color w:val="000000"/>
          <w:sz w:val="22"/>
        </w:rPr>
        <w:t xml:space="preserve">Other references adopted.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“National Electrical Code,” ANSI/NFPA 70-2014, is adopted as a standard of accepted good practice for customer-owned electrical facilities beyond the utility point of delivery, except for installations subject to the provisions of the state fire marshal standards in </w:t>
      </w:r>
      <w:hyperlink r:id="rId13">
        <w:r>
          <w:rPr>
            <w:rStyle w:val="Hyperlink"/>
            <w:rFonts w:ascii="Times New Roman" w:hAnsi="Times New Roman"/>
            <w:b w:val="false"/>
            <w:i w:val="false"/>
            <w:color w:val="000000"/>
            <w:sz w:val="22"/>
          </w:rPr>
          <w:t>661—504.1</w:t>
        </w:r>
      </w:hyperlink>
      <w:r>
        <w:rPr>
          <w:rFonts w:ascii="Times New Roman" w:hAnsi="Times New Roman"/>
          <w:b w:val="false"/>
          <w:i w:val="false"/>
          <w:color w:val="000000"/>
          <w:sz w:val="22"/>
        </w:rPr>
        <w:t>(103).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Lineman’s and Cableman’s Handbook,” Twelfth Edition; Shoemaker, Thomas M. and Mack, James E.; New York, McGraw-Hill Book Co., is adopted as a recommended guideline to implement the “National Electrical Safety Code” or “National Electrical Code,” and for developing the inspection and maintenance plans required by </w:t>
      </w:r>
      <w:hyperlink r:id="rId14">
        <w:r>
          <w:rPr>
            <w:rStyle w:val="Hyperlink"/>
            <w:rFonts w:ascii="Times New Roman" w:hAnsi="Times New Roman"/>
            <w:b w:val="false"/>
            <w:i w:val="false"/>
            <w:color w:val="000000"/>
            <w:sz w:val="22"/>
          </w:rPr>
          <w:t>199—25.3</w:t>
        </w:r>
      </w:hyperlink>
      <w:r>
        <w:rPr>
          <w:rFonts w:ascii="Times New Roman" w:hAnsi="Times New Roman"/>
          <w:b w:val="false"/>
          <w:i w:val="false"/>
          <w:color w:val="000000"/>
          <w:sz w:val="22"/>
        </w:rPr>
        <w:t>(476,478).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7962B</w:t>
      </w:r>
      <w:r>
        <w:rPr>
          <w:rFonts w:ascii="Times New Roman" w:hAnsi="Times New Roman"/>
          <w:b w:val="false"/>
          <w:i w:val="false"/>
          <w:color w:val="000000"/>
          <w:sz w:val="16"/>
        </w:rPr>
        <w:t>, IAB 7/15/09, effective 8/19/09</w:t>
      </w:r>
      <w:r>
        <w:rPr>
          <w:rFonts w:ascii="Times New Roman" w:hAnsi="Times New Roman"/>
          <w:b w:val="false"/>
          <w:i w:val="false"/>
          <w:color w:val="000000"/>
          <w:sz w:val="16"/>
        </w:rPr>
        <w:t xml:space="preserve">; </w:t>
      </w:r>
      <w:r>
        <w:rPr>
          <w:rFonts w:ascii="Times New Roman" w:hAnsi="Times New Roman"/>
          <w:b/>
          <w:i w:val="false"/>
          <w:color w:val="000000"/>
          <w:sz w:val="16"/>
        </w:rPr>
        <w:t>ARC 9501B</w:t>
      </w:r>
      <w:r>
        <w:rPr>
          <w:rFonts w:ascii="Times New Roman" w:hAnsi="Times New Roman"/>
          <w:b w:val="false"/>
          <w:i w:val="false"/>
          <w:color w:val="000000"/>
          <w:sz w:val="16"/>
        </w:rPr>
        <w:t>, IAB 5/18/11, effective 6/22/11</w:t>
      </w:r>
      <w:r>
        <w:rPr>
          <w:rFonts w:ascii="Times New Roman" w:hAnsi="Times New Roman"/>
          <w:b w:val="false"/>
          <w:i w:val="false"/>
          <w:color w:val="000000"/>
          <w:sz w:val="16"/>
        </w:rPr>
        <w:t xml:space="preserve">; </w:t>
      </w:r>
      <w:r>
        <w:rPr>
          <w:rFonts w:ascii="Times New Roman" w:hAnsi="Times New Roman"/>
          <w:b/>
          <w:i w:val="false"/>
          <w:color w:val="000000"/>
          <w:sz w:val="16"/>
        </w:rPr>
        <w:t>ARC 1359C</w:t>
      </w:r>
      <w:r>
        <w:rPr>
          <w:rFonts w:ascii="Times New Roman" w:hAnsi="Times New Roman"/>
          <w:b w:val="false"/>
          <w:i w:val="false"/>
          <w:color w:val="000000"/>
          <w:sz w:val="16"/>
        </w:rPr>
        <w:t>, IAB 3/5/14, effective 4/9/14</w:t>
      </w:r>
      <w:r>
        <w:rPr>
          <w:rFonts w:ascii="Times New Roman" w:hAnsi="Times New Roman"/>
          <w:b w:val="false"/>
          <w:i w:val="false"/>
          <w:color w:val="000000"/>
          <w:sz w:val="16"/>
        </w:rPr>
        <w:t xml:space="preserve">; </w:t>
      </w:r>
      <w:r>
        <w:rPr>
          <w:rFonts w:ascii="Times New Roman" w:hAnsi="Times New Roman"/>
          <w:b/>
          <w:i w:val="false"/>
          <w:color w:val="000000"/>
          <w:sz w:val="16"/>
        </w:rPr>
        <w:t>ARC 2711C</w:t>
      </w:r>
      <w:r>
        <w:rPr>
          <w:rFonts w:ascii="Times New Roman" w:hAnsi="Times New Roman"/>
          <w:b w:val="false"/>
          <w:i w:val="false"/>
          <w:color w:val="000000"/>
          <w:sz w:val="16"/>
        </w:rPr>
        <w:t>, IAB 9/14/16, effective 10/19/16</w:t>
      </w:r>
      <w:r>
        <w:rPr>
          <w:rFonts w:ascii="Times New Roman" w:hAnsi="Times New Roman"/>
          <w:b w:val="false"/>
          <w:i w:val="false"/>
          <w:color w:val="000000"/>
          <w:sz w:val="16"/>
        </w:rPr>
        <w:t xml:space="preserve">; </w:t>
      </w:r>
      <w:r>
        <w:rPr>
          <w:rFonts w:ascii="Times New Roman" w:hAnsi="Times New Roman"/>
          <w:b/>
          <w:i w:val="false"/>
          <w:color w:val="000000"/>
          <w:sz w:val="16"/>
        </w:rPr>
        <w:t>ARC 3010C</w:t>
      </w:r>
      <w:r>
        <w:rPr>
          <w:rFonts w:ascii="Times New Roman" w:hAnsi="Times New Roman"/>
          <w:b w:val="false"/>
          <w:i w:val="false"/>
          <w:color w:val="000000"/>
          <w:sz w:val="16"/>
        </w:rPr>
        <w:t>, IAB 3/29/17, effective 5/3/17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199—25.3</w:t>
      </w:r>
      <w:r>
        <w:rPr>
          <w:rFonts w:ascii="Times New Roman" w:hAnsi="Times New Roman"/>
          <w:b/>
          <w:i w:val="false"/>
          <w:color w:val="000000"/>
          <w:sz w:val="22"/>
        </w:rPr>
        <w:t xml:space="preserve">(476,478) </w:t>
      </w:r>
      <w:r>
        <w:rPr>
          <w:rFonts w:ascii="Times New Roman" w:hAnsi="Times New Roman"/>
          <w:b/>
          <w:i w:val="false"/>
          <w:color w:val="000000"/>
          <w:sz w:val="22"/>
        </w:rPr>
        <w:t xml:space="preserve">Inspection and maintenance plans.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25.3(1)</w:t>
      </w:r>
      <w:r>
        <w:rPr>
          <w:rFonts w:ascii="Times New Roman" w:hAnsi="Times New Roman"/>
          <w:b w:val="false"/>
          <w:i w:val="false"/>
          <w:color w:val="000000"/>
          <w:sz w:val="22"/>
        </w:rPr>
        <w:t> </w:t>
      </w:r>
      <w:r>
        <w:rPr>
          <w:rFonts w:ascii="Times New Roman" w:hAnsi="Times New Roman"/>
          <w:b w:val="false"/>
          <w:i/>
          <w:color w:val="000000"/>
          <w:sz w:val="22"/>
        </w:rPr>
        <w:t xml:space="preserve">Filing of plan. </w:t>
      </w:r>
      <w:r>
        <w:rPr>
          <w:rFonts w:ascii="Times New Roman" w:hAnsi="Times New Roman"/>
          <w:b w:val="false"/>
          <w:i w:val="false"/>
          <w:color w:val="000000"/>
          <w:sz w:val="22"/>
        </w:rPr>
        <w:t>Each electric utility shall adopt and file with the commission a written plan for inspecting and maintaining its electric supply lines and substations (excluding generating stations) in order to determine the necessity for replacement, maintenance, and repair, and for tree trimming or other vegetation management. If the plan is amended or altered, revised copies of the appropriate plan pages shall be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25.3(2)</w:t>
      </w:r>
      <w:r>
        <w:rPr>
          <w:rFonts w:ascii="Times New Roman" w:hAnsi="Times New Roman"/>
          <w:b w:val="false"/>
          <w:i w:val="false"/>
          <w:color w:val="000000"/>
          <w:sz w:val="22"/>
        </w:rPr>
        <w:t> </w:t>
      </w:r>
      <w:r>
        <w:rPr>
          <w:rFonts w:ascii="Times New Roman" w:hAnsi="Times New Roman"/>
          <w:b w:val="false"/>
          <w:i/>
          <w:color w:val="000000"/>
          <w:sz w:val="22"/>
        </w:rPr>
        <w:t xml:space="preserve">Annual report. </w:t>
      </w:r>
      <w:r>
        <w:rPr>
          <w:rFonts w:ascii="Times New Roman" w:hAnsi="Times New Roman"/>
          <w:b w:val="false"/>
          <w:i w:val="false"/>
          <w:color w:val="000000"/>
          <w:sz w:val="22"/>
        </w:rPr>
        <w:t xml:space="preserve">Each investor-owned, rate-regulated utility shall include as part of its annual report to the commission, as required by </w:t>
      </w:r>
      <w:hyperlink r:id="rId15">
        <w:r>
          <w:rPr>
            <w:rStyle w:val="Hyperlink"/>
            <w:rFonts w:ascii="Times New Roman" w:hAnsi="Times New Roman"/>
            <w:b w:val="false"/>
            <w:i w:val="false"/>
            <w:color w:val="000000"/>
            <w:sz w:val="22"/>
          </w:rPr>
          <w:t>199—Chapter 23</w:t>
        </w:r>
      </w:hyperlink>
      <w:r>
        <w:rPr>
          <w:rFonts w:ascii="Times New Roman" w:hAnsi="Times New Roman"/>
          <w:b w:val="false"/>
          <w:i w:val="false"/>
          <w:color w:val="000000"/>
          <w:sz w:val="22"/>
        </w:rPr>
        <w:t xml:space="preserve">, certification of compliance with each area of the inspection and maintenance plan required by subrule </w:t>
      </w:r>
      <w:hyperlink r:id="rId16">
        <w:r>
          <w:rPr>
            <w:rStyle w:val="Hyperlink"/>
            <w:rFonts w:ascii="Times New Roman" w:hAnsi="Times New Roman"/>
            <w:b w:val="false"/>
            <w:i w:val="false"/>
            <w:color w:val="000000"/>
            <w:sz w:val="22"/>
          </w:rPr>
          <w:t>25.3(1)</w:t>
        </w:r>
      </w:hyperlink>
      <w:r>
        <w:rPr>
          <w:rFonts w:ascii="Times New Roman" w:hAnsi="Times New Roman"/>
          <w:b w:val="false"/>
          <w:i w:val="false"/>
          <w:color w:val="000000"/>
          <w:sz w:val="22"/>
        </w:rPr>
        <w:t xml:space="preserve"> or a detailed statement on areas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25.3(3)</w:t>
      </w:r>
      <w:r>
        <w:rPr>
          <w:rFonts w:ascii="Times New Roman" w:hAnsi="Times New Roman"/>
          <w:b w:val="false"/>
          <w:i w:val="false"/>
          <w:color w:val="000000"/>
          <w:sz w:val="22"/>
        </w:rPr>
        <w:t> </w:t>
      </w:r>
      <w:r>
        <w:rPr>
          <w:rFonts w:ascii="Times New Roman" w:hAnsi="Times New Roman"/>
          <w:b w:val="false"/>
          <w:i/>
          <w:color w:val="000000"/>
          <w:sz w:val="22"/>
        </w:rPr>
        <w:t xml:space="preserve">Contents of plan. </w:t>
      </w:r>
      <w:r>
        <w:rPr>
          <w:rFonts w:ascii="Times New Roman" w:hAnsi="Times New Roman"/>
          <w:b w:val="false"/>
          <w:i w:val="false"/>
          <w:color w:val="000000"/>
          <w:sz w:val="22"/>
        </w:rPr>
        <w:t>The inspection plan shall include the following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 listing of all counties or parts of counties in which the utility has electric supply lines in Iowa. If the utility has district or regional offices responsible for implementation of a portion of the plan, the addresses of those offices and a description of the territory for which they are responsible shall also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Inspection of lines, poles, and substations.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Inspection schedules. The plan shall contain a schedule for the periodic inspection of the various units of the utility’s electric plant. The period between inspections shall be based on accepted good practice in the industry, but for lines and substations shall not exceed ten years for any given line or piece of equipment. Lines operated at 34.5 kV or above shall be inspected at least annually for damage and to determine the condition of the overhead line insulators.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Inspection coverage. The plan shall provide for the inspection of all supply line and substation units within the adopted inspection periods and shall include a complete listing of all categories of items to be checked during an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Conduct of inspections. Inspections shall be conducted in a manner conducive to the identification of safety, maintenance, and reliability concerns or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Instructions to inspectors. Copies of instructions or guide materials used by utility inspectors in determining whether a facility is in acceptable condition or in need of corrective action or further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Tree trimming or vegetation management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Schedule. The plan shall contain a schedule for periodic tree trimming or other measures to control vegetation growth under or along the various units of the utility’s electric plant. The period between inspections shall be based on accepted good practice in the industry and may vary depending on the nature of the vegetation at different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Procedures. The plan shall include written procedures for vegetation management. The procedures shall promote the safety and reliability of electric lines and facilities. Where tree trimming is employed, practices shall be adopted that will protect the health of the tree and reduce undesirable regrowth patterns.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Pole inspections. </w:t>
      </w:r>
      <w:r>
        <w:rPr>
          <w:rFonts w:ascii="Times New Roman" w:hAnsi="Times New Roman"/>
          <w:b w:val="false"/>
          <w:i w:val="false"/>
          <w:color w:val="000000"/>
          <w:sz w:val="22"/>
        </w:rPr>
        <w:t>Pole inspections shall periodically include an examination of the poles that includes tests in addition to visual inspection in appropriate circumstances. These additional tests may include sounding, boring, groundline exposure, and, if applicable, pole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25.3(4)</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Each utility shall keep sufficient records to demonstrate compliance with its inspection and vegetation management plans. For each inspection unit, the records of line and substation inspections and pole inspections shall include the inspection date(s), the findings of the inspection, and the disposition or scheduling of repairs or maintenance found necessary during the inspection. For each inspection unit, the records of vegetation management shall include the date(s) during which the work was conducted. The records shall be kept until two years after the next periodic inspection or vegetation management action in the inspection and maintenance plan cycle is completed or until all necessary repairs and maintenance are completed, whichever is longer.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25.3(5)</w:t>
      </w:r>
      <w:r>
        <w:rPr>
          <w:rFonts w:ascii="Times New Roman" w:hAnsi="Times New Roman"/>
          <w:b w:val="false"/>
          <w:i w:val="false"/>
          <w:color w:val="000000"/>
          <w:sz w:val="22"/>
        </w:rPr>
        <w:t> </w:t>
      </w:r>
      <w:r>
        <w:rPr>
          <w:rFonts w:ascii="Times New Roman" w:hAnsi="Times New Roman"/>
          <w:b w:val="false"/>
          <w:i/>
          <w:color w:val="000000"/>
          <w:sz w:val="22"/>
        </w:rPr>
        <w:t xml:space="preserve">Guidelines. </w:t>
      </w:r>
      <w:r>
        <w:rPr>
          <w:rFonts w:ascii="Times New Roman" w:hAnsi="Times New Roman"/>
          <w:b w:val="false"/>
          <w:i w:val="false"/>
          <w:color w:val="000000"/>
          <w:sz w:val="22"/>
        </w:rPr>
        <w:t>Applicable portions of Rural Utilities Service (RUS) Bulletins 1730-1, 1730B-121, and 1724E-300 and “The Lineman’s and Cableman’s Handbook” are suggested as guidelines for the development and implementation of an inspection plan. ANSI A300 (Part 1)-2008 (R2014), “Pruning,” and Section 35 of “The Lineman’s and Cableman’s Handbook” are suggested as guides for tree trimming practices.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1359C</w:t>
      </w:r>
      <w:r>
        <w:rPr>
          <w:rFonts w:ascii="Times New Roman" w:hAnsi="Times New Roman"/>
          <w:b w:val="false"/>
          <w:i w:val="false"/>
          <w:color w:val="000000"/>
          <w:sz w:val="16"/>
        </w:rPr>
        <w:t>, IAB 3/5/14, effective 4/9/14</w:t>
      </w:r>
      <w:r>
        <w:rPr>
          <w:rFonts w:ascii="Times New Roman" w:hAnsi="Times New Roman"/>
          <w:b w:val="false"/>
          <w:i w:val="false"/>
          <w:color w:val="000000"/>
          <w:sz w:val="16"/>
        </w:rPr>
        <w:t xml:space="preserve">; </w:t>
      </w:r>
      <w:r>
        <w:rPr>
          <w:rFonts w:ascii="Times New Roman" w:hAnsi="Times New Roman"/>
          <w:b/>
          <w:i w:val="false"/>
          <w:color w:val="000000"/>
          <w:sz w:val="16"/>
        </w:rPr>
        <w:t>ARC 2711C</w:t>
      </w:r>
      <w:r>
        <w:rPr>
          <w:rFonts w:ascii="Times New Roman" w:hAnsi="Times New Roman"/>
          <w:b w:val="false"/>
          <w:i w:val="false"/>
          <w:color w:val="000000"/>
          <w:sz w:val="16"/>
        </w:rPr>
        <w:t>, IAB 9/14/16, effective 10/19/16</w:t>
      </w:r>
      <w:r>
        <w:rPr>
          <w:rFonts w:ascii="Times New Roman" w:hAnsi="Times New Roman"/>
          <w:b w:val="false"/>
          <w:i w:val="false"/>
          <w:color w:val="000000"/>
          <w:sz w:val="16"/>
        </w:rPr>
        <w:t xml:space="preserve">; </w:t>
      </w:r>
      <w:r>
        <w:rPr>
          <w:rFonts w:ascii="Times New Roman" w:hAnsi="Times New Roman"/>
          <w:b/>
          <w:i w:val="false"/>
          <w:color w:val="000000"/>
          <w:sz w:val="16"/>
        </w:rPr>
        <w:t>ARC 3010C</w:t>
      </w:r>
      <w:r>
        <w:rPr>
          <w:rFonts w:ascii="Times New Roman" w:hAnsi="Times New Roman"/>
          <w:b w:val="false"/>
          <w:i w:val="false"/>
          <w:color w:val="000000"/>
          <w:sz w:val="16"/>
        </w:rPr>
        <w:t>, IAB 3/29/17, effective 5/3/17</w:t>
      </w:r>
      <w:r>
        <w:rPr>
          <w:rFonts w:ascii="Times New Roman" w:hAnsi="Times New Roman"/>
          <w:b w:val="false"/>
          <w:i w:val="false"/>
          <w:color w:val="000000"/>
          <w:sz w:val="16"/>
        </w:rPr>
        <w:t xml:space="preserve">; </w:t>
      </w:r>
      <w:r>
        <w:rPr>
          <w:rFonts w:ascii="Times New Roman" w:hAnsi="Times New Roman"/>
          <w:b/>
          <w:i w:val="false"/>
          <w:color w:val="000000"/>
          <w:sz w:val="16"/>
        </w:rPr>
        <w:t>ARC 5531C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199—25.4</w:t>
      </w:r>
      <w:r>
        <w:rPr>
          <w:rFonts w:ascii="Times New Roman" w:hAnsi="Times New Roman"/>
          <w:b/>
          <w:i w:val="false"/>
          <w:color w:val="000000"/>
          <w:sz w:val="22"/>
        </w:rPr>
        <w:t xml:space="preserve">(476,478) </w:t>
      </w:r>
      <w:r>
        <w:rPr>
          <w:rFonts w:ascii="Times New Roman" w:hAnsi="Times New Roman"/>
          <w:b/>
          <w:i w:val="false"/>
          <w:color w:val="000000"/>
          <w:sz w:val="22"/>
        </w:rPr>
        <w:t xml:space="preserve">Correction of problems found during inspections and pole attachment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25.4(1)</w:t>
      </w:r>
      <w:r>
        <w:rPr>
          <w:rFonts w:ascii="Times New Roman" w:hAnsi="Times New Roman"/>
          <w:b w:val="false"/>
          <w:i w:val="false"/>
          <w:color w:val="000000"/>
          <w:sz w:val="22"/>
        </w:rPr>
        <w:t> </w:t>
      </w:r>
      <w:r>
        <w:rPr>
          <w:rFonts w:ascii="Times New Roman" w:hAnsi="Times New Roman"/>
          <w:b w:val="false"/>
          <w:i w:val="false"/>
          <w:color w:val="000000"/>
          <w:sz w:val="22"/>
        </w:rPr>
        <w:t xml:space="preserve">Corrective action shall be taken within a reasonable period of time on all potentially hazardous conditions, instances of safety code noncompliance, maintenance needs, potential threats to safety and reliability, or other concerns identified during inspections. Hazardous conditions shall be corrected promptly. In addition to the general requirements stated in this subrule, pole attachments shall comply with the specific requirements and procedures established in subrule </w:t>
      </w:r>
      <w:hyperlink r:id="rId17">
        <w:r>
          <w:rPr>
            <w:rStyle w:val="Hyperlink"/>
            <w:rFonts w:ascii="Times New Roman" w:hAnsi="Times New Roman"/>
            <w:b w:val="false"/>
            <w:i w:val="false"/>
            <w:color w:val="000000"/>
            <w:sz w:val="22"/>
          </w:rPr>
          <w:t>25.4(2)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25.4(2)</w:t>
      </w:r>
      <w:r>
        <w:rPr>
          <w:rFonts w:ascii="Times New Roman" w:hAnsi="Times New Roman"/>
          <w:b w:val="false"/>
          <w:i w:val="false"/>
          <w:color w:val="000000"/>
          <w:sz w:val="22"/>
        </w:rPr>
        <w:t> </w:t>
      </w:r>
      <w:r>
        <w:rPr>
          <w:rFonts w:ascii="Times New Roman" w:hAnsi="Times New Roman"/>
          <w:b w:val="false"/>
          <w:i w:val="false"/>
          <w:color w:val="000000"/>
          <w:sz w:val="22"/>
        </w:rPr>
        <w:t>To ensure the safety of pole attachments to poles owned by utilities in Iowa, this subrule establishes requirements for attaching electric lines, communications lines, cable systems, video service lines, data lines, wireless antennae and other wireless facilities, or similar lines and facilities that are attached to the excess space on poles owned by utilities.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shall apply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“Pole” </w:t>
      </w:r>
      <w:r>
        <w:rPr>
          <w:rFonts w:ascii="Times New Roman" w:hAnsi="Times New Roman"/>
          <w:b w:val="false"/>
          <w:i w:val="false"/>
          <w:color w:val="000000"/>
          <w:sz w:val="22"/>
        </w:rPr>
        <w:t>means any pole owned by a utility that carries electric lines, communications lines, cable systems, video service lines, data service lines, wireless antennae or other wireless facilities, or similar lines and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“Pole attachment” </w:t>
      </w:r>
      <w:r>
        <w:rPr>
          <w:rFonts w:ascii="Times New Roman" w:hAnsi="Times New Roman"/>
          <w:b w:val="false"/>
          <w:i w:val="false"/>
          <w:color w:val="000000"/>
          <w:sz w:val="22"/>
        </w:rPr>
        <w:t xml:space="preserve">means any electric line, communication circuit, cable system, video service line, data service line, antenna and other associated wireless equipment, or similar lines and facilities attached to a pole or other supporting structure subject to the safety jurisdiction of the commission pursuant to the Iowa electrical safety code, </w:t>
      </w:r>
      <w:hyperlink r:id="rId18">
        <w:r>
          <w:rPr>
            <w:rStyle w:val="Hyperlink"/>
            <w:rFonts w:ascii="Times New Roman" w:hAnsi="Times New Roman"/>
            <w:b w:val="false"/>
            <w:i w:val="false"/>
            <w:color w:val="000000"/>
            <w:sz w:val="22"/>
          </w:rPr>
          <w:t>199—25.2</w:t>
        </w:r>
      </w:hyperlink>
      <w:r>
        <w:rPr>
          <w:rFonts w:ascii="Times New Roman" w:hAnsi="Times New Roman"/>
          <w:b w:val="false"/>
          <w:i w:val="false"/>
          <w:color w:val="000000"/>
          <w:sz w:val="22"/>
        </w:rPr>
        <w:t>(476,476A,478).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“Pole occupant” </w:t>
      </w:r>
      <w:r>
        <w:rPr>
          <w:rFonts w:ascii="Times New Roman" w:hAnsi="Times New Roman"/>
          <w:b w:val="false"/>
          <w:i w:val="false"/>
          <w:color w:val="000000"/>
          <w:sz w:val="22"/>
        </w:rPr>
        <w:t>means any electric utility, telecommunications carrier, cable system provider, video service provider, data service provider, wireless service provider, or similar person or entity that constructs, operates, or maintains pole attachments as defined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“Pole owner” </w:t>
      </w:r>
      <w:r>
        <w:rPr>
          <w:rFonts w:ascii="Times New Roman" w:hAnsi="Times New Roman"/>
          <w:b w:val="false"/>
          <w:i w:val="false"/>
          <w:color w:val="000000"/>
          <w:sz w:val="22"/>
        </w:rPr>
        <w:t xml:space="preserve">means a utility that owns poles subject to the safety jurisdiction of the commission pursuant to the Iowa electrical safety code, </w:t>
      </w:r>
      <w:hyperlink r:id="rId19">
        <w:r>
          <w:rPr>
            <w:rStyle w:val="Hyperlink"/>
            <w:rFonts w:ascii="Times New Roman" w:hAnsi="Times New Roman"/>
            <w:b w:val="false"/>
            <w:i w:val="false"/>
            <w:color w:val="000000"/>
            <w:sz w:val="22"/>
          </w:rPr>
          <w:t>199—25.2</w:t>
        </w:r>
      </w:hyperlink>
      <w:r>
        <w:rPr>
          <w:rFonts w:ascii="Times New Roman" w:hAnsi="Times New Roman"/>
          <w:b w:val="false"/>
          <w:i w:val="false"/>
          <w:color w:val="000000"/>
          <w:sz w:val="22"/>
        </w:rPr>
        <w:t>(476,476A,478).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Iowa electrical safety code. </w:t>
      </w:r>
      <w:r>
        <w:rPr>
          <w:rFonts w:ascii="Times New Roman" w:hAnsi="Times New Roman"/>
          <w:b w:val="false"/>
          <w:i w:val="false"/>
          <w:color w:val="000000"/>
          <w:sz w:val="22"/>
        </w:rPr>
        <w:t xml:space="preserve">Pole attachments to poles shall be constructed, installed, operated, and maintained in compliance with the Iowa electrical safety code, </w:t>
      </w:r>
      <w:hyperlink r:id="rId20">
        <w:r>
          <w:rPr>
            <w:rStyle w:val="Hyperlink"/>
            <w:rFonts w:ascii="Times New Roman" w:hAnsi="Times New Roman"/>
            <w:b w:val="false"/>
            <w:i w:val="false"/>
            <w:color w:val="000000"/>
            <w:sz w:val="22"/>
          </w:rPr>
          <w:t>199—25.2</w:t>
        </w:r>
      </w:hyperlink>
      <w:r>
        <w:rPr>
          <w:rFonts w:ascii="Times New Roman" w:hAnsi="Times New Roman"/>
          <w:b w:val="false"/>
          <w:i w:val="false"/>
          <w:color w:val="000000"/>
          <w:sz w:val="22"/>
        </w:rPr>
        <w:t>(476,476A,478), and the requirements and procedures established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Requests for access to poles; exceptions for service drops and overlashing.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pole owner shall provide nondiscriminatory access to poles it owns, to the extent required by federal or state law. Requests for access to poles by an electric utility, telecommunications carrier, cable system operator, video service provider, data service provider, wireless service provider, or similar person or entity shall be made in writing or by any method as may be agreed upon by the pole owner and the person or entity requesting access to the pole. If access is denied, the pole owner shall explain in detail the specific reason for denial and how the denial relates to reasons of lack of capacity, safety, reliability, or engineering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 drops are not subject to the notice and approval requirements in subparagraph </w:t>
      </w:r>
      <w:hyperlink r:id="rId21">
        <w:r>
          <w:rPr>
            <w:rStyle w:val="Hyperlink"/>
            <w:rFonts w:ascii="Times New Roman" w:hAnsi="Times New Roman"/>
            <w:b w:val="false"/>
            <w:i w:val="false"/>
            <w:color w:val="000000"/>
            <w:sz w:val="22"/>
          </w:rPr>
          <w:t>25.4(2)</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 Instead, pole occupants shall provide notice to pole owners within 30 days of the installation of a new service drop, unless the pole occupant and pole owner have negotiated a different notification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Overlashing of existing lines is not subject to the notice and approval requirements in subparagraph </w:t>
      </w:r>
      <w:hyperlink r:id="rId22">
        <w:r>
          <w:rPr>
            <w:rStyle w:val="Hyperlink"/>
            <w:rFonts w:ascii="Times New Roman" w:hAnsi="Times New Roman"/>
            <w:b w:val="false"/>
            <w:i w:val="false"/>
            <w:color w:val="000000"/>
            <w:sz w:val="22"/>
          </w:rPr>
          <w:t>25.4(2)</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 Pole occupants shall provide notice to pole owners of proposed overlashing at least 7 days prior to installation of the overlashing, unless the pole occupant and pole owner have negotiated a different notification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violation. </w:t>
      </w:r>
      <w:r>
        <w:rPr>
          <w:rFonts w:ascii="Times New Roman" w:hAnsi="Times New Roman"/>
          <w:b w:val="false"/>
          <w:i w:val="false"/>
          <w:color w:val="000000"/>
          <w:sz w:val="22"/>
        </w:rPr>
        <w:t>A pole owner shall notify in writing a pole occupant of an alleged violation of the Iowa electrical safety code by a pole attachment owned by the pole occupant or may provide notice by another method as may be agreed upon by the parties to a pole attachment agreement. The notice shall include the address and pole location where the alleged violation occurred, a description of the alleged violation, and suggested corrective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Upon receipt of notification from a pole owner that the pole occupant has one or more pole attachments in violation of the Iowa electrical safety code, the pole occupant shall respond to the pole owner within 60 days in writing or by another method as may be agreed upon by the pole occupant and the pole owner. The response shall provide a plan for corrective action, state that the violation has been corrected, indicate that the pole attachment is owned by a different pole occupant, or indicate that the pole occupant disputes that a violation has occurred. The violation shall be corrected within 180 days of the date notification is received unless good cause is shown for any delay in taking corrective action. A disagreement that a violation has occurred, a claim that correction is not possible within the specific time frames due to events beyond the control of the pole occupant, or a claim that a different pole occupant is responsible for the alleged violation will be considered good cause to extend the time for taking corrective action. The pole occupant and pole owner may also agree to an extension of the time for taking corrective action. The pole owner and pole occupant shall cooperate in determining the cause of a violation and an efficient and cost-effective method of correcting a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violation could reasonably be expected to endanger life or property, the pole occupant shall take the necessary action to correct, disconnect, or isolate the problem immediately upon notification. If immediate corrective action is not taken by the pole occupant for a violation that could reasonably be expected to endanger life or property, the pole owner may take the necessary corrective action and the pole occupant shall reimburse the pole owner for the actual cost of any corrective measures. If the pole owner is later determined to have caused the violation and the pole occupant has taken corrective action, the pole owner shall reimburse the pole occupant for the actual cost of the corrective action. Disputes concerning the ownership of the pole attachment should be resolved as quickly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Negotiated resolution of disputes. </w:t>
      </w:r>
      <w:r>
        <w:rPr>
          <w:rFonts w:ascii="Times New Roman" w:hAnsi="Times New Roman"/>
          <w:b w:val="false"/>
          <w:i w:val="false"/>
          <w:color w:val="000000"/>
          <w:sz w:val="22"/>
        </w:rPr>
        <w:t xml:space="preserve">Parties to disputes over alleged violations of the Iowa electrical safety code, the cause of a violation, the pole occupant responsible for the violation, the cost-effective corrective action, or any other dispute regarding the provisions of subrule </w:t>
      </w:r>
      <w:hyperlink r:id="rId23">
        <w:r>
          <w:rPr>
            <w:rStyle w:val="Hyperlink"/>
            <w:rFonts w:ascii="Times New Roman" w:hAnsi="Times New Roman"/>
            <w:b w:val="false"/>
            <w:i w:val="false"/>
            <w:color w:val="000000"/>
            <w:sz w:val="22"/>
          </w:rPr>
          <w:t>25.4(2)</w:t>
        </w:r>
      </w:hyperlink>
      <w:r>
        <w:rPr>
          <w:rFonts w:ascii="Times New Roman" w:hAnsi="Times New Roman"/>
          <w:b w:val="false"/>
          <w:i w:val="false"/>
          <w:color w:val="000000"/>
          <w:sz w:val="22"/>
        </w:rPr>
        <w:t xml:space="preserve"> shall attempt to resolve disputes through good-faith negotiations. Parties may file an informal complaint with the commission pursuant to </w:t>
      </w:r>
      <w:hyperlink r:id="rId24">
        <w:r>
          <w:rPr>
            <w:rStyle w:val="Hyperlink"/>
            <w:rFonts w:ascii="Times New Roman" w:hAnsi="Times New Roman"/>
            <w:b w:val="false"/>
            <w:i w:val="false"/>
            <w:color w:val="000000"/>
            <w:sz w:val="22"/>
          </w:rPr>
          <w:t>199—Chapter 6</w:t>
        </w:r>
      </w:hyperlink>
      <w:r>
        <w:rPr>
          <w:rFonts w:ascii="Times New Roman" w:hAnsi="Times New Roman"/>
          <w:b w:val="false"/>
          <w:i w:val="false"/>
          <w:color w:val="000000"/>
          <w:sz w:val="22"/>
        </w:rPr>
        <w:t xml:space="preserve"> as part of negotiations.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Complaints. </w:t>
      </w:r>
      <w:r>
        <w:rPr>
          <w:rFonts w:ascii="Times New Roman" w:hAnsi="Times New Roman"/>
          <w:b w:val="false"/>
          <w:i w:val="false"/>
          <w:color w:val="000000"/>
          <w:sz w:val="22"/>
        </w:rPr>
        <w:t xml:space="preserve">Complaints concerning the requirements or procedures established in subrule </w:t>
      </w:r>
      <w:hyperlink r:id="rId25">
        <w:r>
          <w:rPr>
            <w:rStyle w:val="Hyperlink"/>
            <w:rFonts w:ascii="Times New Roman" w:hAnsi="Times New Roman"/>
            <w:b w:val="false"/>
            <w:i w:val="false"/>
            <w:color w:val="000000"/>
            <w:sz w:val="22"/>
          </w:rPr>
          <w:t>25.4(2)</w:t>
        </w:r>
      </w:hyperlink>
      <w:r>
        <w:rPr>
          <w:rFonts w:ascii="Times New Roman" w:hAnsi="Times New Roman"/>
          <w:b w:val="false"/>
          <w:i w:val="false"/>
          <w:color w:val="000000"/>
          <w:sz w:val="22"/>
        </w:rPr>
        <w:t xml:space="preserve">, including alleged violations of the Iowa electrical safety code, may be filed with the commission by pole owners or pole occupants pursuant to the complaint procedures in </w:t>
      </w:r>
      <w:hyperlink r:id="rId26">
        <w:r>
          <w:rPr>
            <w:rStyle w:val="Hyperlink"/>
            <w:rFonts w:ascii="Times New Roman" w:hAnsi="Times New Roman"/>
            <w:b w:val="false"/>
            <w:i w:val="false"/>
            <w:color w:val="000000"/>
            <w:sz w:val="22"/>
          </w:rPr>
          <w:t>199—Chapter 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Civil penalties. </w:t>
      </w:r>
      <w:r>
        <w:rPr>
          <w:rFonts w:ascii="Times New Roman" w:hAnsi="Times New Roman"/>
          <w:b w:val="false"/>
          <w:i w:val="false"/>
          <w:color w:val="000000"/>
          <w:sz w:val="22"/>
        </w:rPr>
        <w:t xml:space="preserve">Persons found to have violated the provisions of subrule </w:t>
      </w:r>
      <w:hyperlink r:id="rId27">
        <w:r>
          <w:rPr>
            <w:rStyle w:val="Hyperlink"/>
            <w:rFonts w:ascii="Times New Roman" w:hAnsi="Times New Roman"/>
            <w:b w:val="false"/>
            <w:i w:val="false"/>
            <w:color w:val="000000"/>
            <w:sz w:val="22"/>
          </w:rPr>
          <w:t>25.4(2)</w:t>
        </w:r>
      </w:hyperlink>
      <w:r>
        <w:rPr>
          <w:rFonts w:ascii="Times New Roman" w:hAnsi="Times New Roman"/>
          <w:b w:val="false"/>
          <w:i w:val="false"/>
          <w:color w:val="000000"/>
          <w:sz w:val="22"/>
        </w:rPr>
        <w:t xml:space="preserve"> may be subject to civil penalties pursuant to Iowa Code section </w:t>
      </w:r>
      <w:hyperlink r:id="rId28">
        <w:r>
          <w:rPr>
            <w:rStyle w:val="Hyperlink"/>
            <w:rFonts w:ascii="Times New Roman" w:hAnsi="Times New Roman"/>
            <w:b w:val="false"/>
            <w:i w:val="false"/>
            <w:color w:val="000000"/>
            <w:sz w:val="22"/>
          </w:rPr>
          <w:t>476.51</w:t>
        </w:r>
      </w:hyperlink>
      <w:r>
        <w:rPr>
          <w:rFonts w:ascii="Times New Roman" w:hAnsi="Times New Roman"/>
          <w:b w:val="false"/>
          <w:i w:val="false"/>
          <w:color w:val="000000"/>
          <w:sz w:val="22"/>
        </w:rPr>
        <w:t xml:space="preserve"> or to other action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1259C</w:t>
      </w:r>
      <w:r>
        <w:rPr>
          <w:rFonts w:ascii="Times New Roman" w:hAnsi="Times New Roman"/>
          <w:b w:val="false"/>
          <w:i w:val="false"/>
          <w:color w:val="000000"/>
          <w:sz w:val="16"/>
        </w:rPr>
        <w:t>, IAB 1/8/14, effective 2/12/14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199—25.5</w:t>
      </w:r>
      <w:r>
        <w:rPr>
          <w:rFonts w:ascii="Times New Roman" w:hAnsi="Times New Roman"/>
          <w:b/>
          <w:i w:val="false"/>
          <w:color w:val="000000"/>
          <w:sz w:val="22"/>
        </w:rPr>
        <w:t xml:space="preserve">(476,478) </w:t>
      </w:r>
      <w:r>
        <w:rPr>
          <w:rFonts w:ascii="Times New Roman" w:hAnsi="Times New Roman"/>
          <w:b/>
          <w:i w:val="false"/>
          <w:color w:val="000000"/>
          <w:sz w:val="22"/>
        </w:rPr>
        <w:t xml:space="preserve">Accident reports. </w:t>
      </w:r>
      <w:r>
        <w:rPr>
          <w:rFonts w:ascii="Times New Roman" w:hAnsi="Times New Roman"/>
          <w:b w:val="false"/>
          <w:i w:val="false"/>
          <w:color w:val="000000"/>
          <w:sz w:val="22"/>
        </w:rPr>
        <w:t>This rule applies to all owners or operators of electrical facilities subject to the safety jurisdiction of the commission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25.5(1)</w:t>
      </w:r>
      <w:r>
        <w:rPr>
          <w:rFonts w:ascii="Times New Roman" w:hAnsi="Times New Roman"/>
          <w:b w:val="false"/>
          <w:i w:val="false"/>
          <w:color w:val="000000"/>
          <w:sz w:val="22"/>
        </w:rPr>
        <w:t> </w:t>
      </w:r>
      <w:r>
        <w:rPr>
          <w:rFonts w:ascii="Times New Roman" w:hAnsi="Times New Roman"/>
          <w:b w:val="false"/>
          <w:i w:val="false"/>
          <w:color w:val="000000"/>
          <w:sz w:val="22"/>
        </w:rPr>
        <w:t>All owners and operators of electrical facilities subject to the safety jurisdiction of the commission shall provide the commission with a 24-hour contact number where the commission can obtain immediate access to a person knowledgeable about any incidents involving contact with energized electrical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25.5(2)</w:t>
      </w:r>
      <w:r>
        <w:rPr>
          <w:rFonts w:ascii="Times New Roman" w:hAnsi="Times New Roman"/>
          <w:b w:val="false"/>
          <w:i w:val="false"/>
          <w:color w:val="000000"/>
          <w:sz w:val="22"/>
        </w:rPr>
        <w:t> </w:t>
      </w:r>
      <w:r>
        <w:rPr>
          <w:rFonts w:ascii="Times New Roman" w:hAnsi="Times New Roman"/>
          <w:b w:val="false"/>
          <w:i w:val="false"/>
          <w:color w:val="000000"/>
          <w:sz w:val="22"/>
        </w:rPr>
        <w:t>All owners and operators of electrical facilities subject to the safety jurisdiction of the commission shall notify the commission of any incident or accident involving contact with energized electrical facilities that meets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employee or other person coming in contact with energized electrical facilities which results in death or personal injury necessitating in-patient hospitalization.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Estimated property damage of $15,000 or more to the property of the utility and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other incident considered significant by the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shall be notified immediately, or as soon as practical thereafter, by email to the commission duty officer at </w:t>
      </w:r>
      <w:hyperlink r:id="rId29">
        <w:r>
          <w:rPr>
            <w:rStyle w:val="Hyperlink"/>
            <w:rFonts w:ascii="Times New Roman" w:hAnsi="Times New Roman"/>
            <w:b w:val="false"/>
            <w:i w:val="false"/>
            <w:color w:val="000000"/>
            <w:sz w:val="22"/>
            <w:u w:val="single"/>
          </w:rPr>
          <w:t>dutyofficer@iuc.iowa.gov</w:t>
        </w:r>
      </w:hyperlink>
      <w:r>
        <w:rPr>
          <w:rFonts w:ascii="Times New Roman" w:hAnsi="Times New Roman"/>
          <w:b w:val="false"/>
          <w:i w:val="false"/>
          <w:color w:val="000000"/>
          <w:sz w:val="22"/>
        </w:rPr>
        <w:t xml:space="preserve"> or, if email service is not available, by calling (515)745-2332. The person contacting the commission shall leave a telephone number of a person who can provide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company, the name and telephone number of the person making the report, and the name and telephone number of a contact person knowledgeable about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location of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time of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number of deaths or personal injuries requiring in-patient hospitalization and the extent of those injuries.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Initial estimate of damages.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summary of the significant information available regarding the probable cause of the incident and extent of damages.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oral or written report made to a federal agency, the agency receiving the report, and the name and telephone number of the person who made or prepared the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25.5(4)</w:t>
      </w:r>
      <w:r>
        <w:rPr>
          <w:rFonts w:ascii="Times New Roman" w:hAnsi="Times New Roman"/>
          <w:b w:val="false"/>
          <w:i w:val="false"/>
          <w:color w:val="000000"/>
          <w:sz w:val="22"/>
        </w:rPr>
        <w:t> </w:t>
      </w:r>
      <w:r>
        <w:rPr>
          <w:rFonts w:ascii="Times New Roman" w:hAnsi="Times New Roman"/>
          <w:b w:val="false"/>
          <w:i w:val="false"/>
          <w:color w:val="000000"/>
          <w:sz w:val="22"/>
        </w:rPr>
        <w:t xml:space="preserve">Written incident reports. Within 30 days of the date of the incident, the owner or operator shall file a written report with the commission. The report shall include the information required for notice in subrule </w:t>
      </w:r>
      <w:hyperlink r:id="rId30">
        <w:r>
          <w:rPr>
            <w:rStyle w:val="Hyperlink"/>
            <w:rFonts w:ascii="Times New Roman" w:hAnsi="Times New Roman"/>
            <w:b w:val="false"/>
            <w:i w:val="false"/>
            <w:color w:val="000000"/>
            <w:sz w:val="22"/>
          </w:rPr>
          <w:t>25.5(3)</w:t>
        </w:r>
      </w:hyperlink>
      <w:r>
        <w:rPr>
          <w:rFonts w:ascii="Times New Roman" w:hAnsi="Times New Roman"/>
          <w:b w:val="false"/>
          <w:i w:val="false"/>
          <w:color w:val="000000"/>
          <w:sz w:val="22"/>
        </w:rPr>
        <w:t>, the probable cause as determined by the company, the number and cause of any deaths or personal injuries requiring in-patient hospitalization, and a detailed description of property damage and the amount of monetary damages. If significant additional information becomes available at a later date, a supplemental report shall be filed. Duplicate copies of any written reports filed with or submitted to a federal agency concerning the incident shall also be provided to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12/29/10</w:t>
      </w:r>
      <w:r>
        <w:rPr>
          <w:rFonts w:ascii="Times New Roman" w:hAnsi="Times New Roman"/>
          <w:b w:val="false"/>
          <w:i w:val="false"/>
          <w:color w:val="000000"/>
          <w:sz w:val="16"/>
        </w:rPr>
        <w:t xml:space="preserve">; </w:t>
      </w:r>
      <w:r>
        <w:rPr>
          <w:rFonts w:ascii="Times New Roman" w:hAnsi="Times New Roman"/>
          <w:b/>
          <w:i w:val="false"/>
          <w:color w:val="000000"/>
          <w:sz w:val="16"/>
        </w:rPr>
        <w:t>ARC 1359C</w:t>
      </w:r>
      <w:r>
        <w:rPr>
          <w:rFonts w:ascii="Times New Roman" w:hAnsi="Times New Roman"/>
          <w:b w:val="false"/>
          <w:i w:val="false"/>
          <w:color w:val="000000"/>
          <w:sz w:val="16"/>
        </w:rPr>
        <w:t>, IAB 3/5/14, effective 4/9/14</w:t>
      </w:r>
      <w:r>
        <w:rPr>
          <w:rFonts w:ascii="Times New Roman" w:hAnsi="Times New Roman"/>
          <w:b w:val="false"/>
          <w:i w:val="false"/>
          <w:color w:val="000000"/>
          <w:sz w:val="16"/>
        </w:rPr>
        <w:t xml:space="preserve">; </w:t>
      </w:r>
      <w:r>
        <w:rPr>
          <w:rFonts w:ascii="Times New Roman" w:hAnsi="Times New Roman"/>
          <w:b/>
          <w:i w:val="false"/>
          <w:color w:val="000000"/>
          <w:sz w:val="16"/>
        </w:rPr>
        <w:t>ARC 1623C</w:t>
      </w:r>
      <w:r>
        <w:rPr>
          <w:rFonts w:ascii="Times New Roman" w:hAnsi="Times New Roman"/>
          <w:b w:val="false"/>
          <w:i w:val="false"/>
          <w:color w:val="000000"/>
          <w:sz w:val="16"/>
        </w:rPr>
        <w:t>, IAB 9/17/14, effective 10/22/14</w:t>
      </w:r>
      <w:r>
        <w:rPr>
          <w:rFonts w:ascii="Times New Roman" w:hAnsi="Times New Roman"/>
          <w:b w:val="false"/>
          <w:i w:val="false"/>
          <w:color w:val="000000"/>
          <w:sz w:val="16"/>
        </w:rPr>
        <w:t xml:space="preserve">; </w:t>
      </w:r>
      <w:r>
        <w:rPr>
          <w:rFonts w:ascii="Times New Roman" w:hAnsi="Times New Roman"/>
          <w:b/>
          <w:i w:val="false"/>
          <w:color w:val="000000"/>
          <w:sz w:val="16"/>
        </w:rPr>
        <w:t>ARC 3010C</w:t>
      </w:r>
      <w:r>
        <w:rPr>
          <w:rFonts w:ascii="Times New Roman" w:hAnsi="Times New Roman"/>
          <w:b w:val="false"/>
          <w:i w:val="false"/>
          <w:color w:val="000000"/>
          <w:sz w:val="16"/>
        </w:rPr>
        <w:t>, IAB 3/29/17, effective 5/3/17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1">
        <w:r>
          <w:rPr>
            <w:rStyle w:val="Hyperlink"/>
            <w:rFonts w:ascii="Times New Roman" w:hAnsi="Times New Roman"/>
            <w:b w:val="false"/>
            <w:i w:val="false"/>
            <w:color w:val="000000"/>
            <w:sz w:val="22"/>
          </w:rPr>
          <w:t>478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4/10/79, Notices 5/3/78, 8/23/78—published 5/2/79, effective 6/6/79]</w:t>
      </w:r>
    </w:p>
    <w:p>
      <w:pPr>
        <w:spacing w:before="0" w:after="0"/>
        <w:ind w:left="120"/>
        <w:jc w:val="center"/>
      </w:pPr>
      <w:r>
        <w:rPr>
          <w:rFonts w:ascii="Times New Roman" w:hAnsi="Times New Roman"/>
          <w:b w:val="false"/>
          <w:i w:val="false"/>
          <w:color w:val="000000"/>
          <w:sz w:val="21"/>
        </w:rPr>
        <w:t>[Filed 11/19/82, Notice 9/1/82—published 12/8/82, effective 1/12/83]</w:t>
      </w:r>
    </w:p>
    <w:p>
      <w:pPr>
        <w:spacing w:before="0" w:after="0"/>
        <w:ind w:left="120"/>
        <w:jc w:val="center"/>
      </w:pPr>
      <w:r>
        <w:rPr>
          <w:rFonts w:ascii="Times New Roman" w:hAnsi="Times New Roman"/>
          <w:b w:val="false"/>
          <w:i w:val="false"/>
          <w:color w:val="000000"/>
          <w:sz w:val="21"/>
        </w:rPr>
        <w:t>[Filed 1/28/83, Notice 12/8/82—published 2/16/83, effective 3/23/83]</w:t>
      </w:r>
    </w:p>
    <w:p>
      <w:pPr>
        <w:spacing w:before="0" w:after="0"/>
        <w:ind w:left="120"/>
        <w:jc w:val="center"/>
      </w:pPr>
      <w:r>
        <w:rPr>
          <w:rFonts w:ascii="Times New Roman" w:hAnsi="Times New Roman"/>
          <w:b w:val="false"/>
          <w:i w:val="false"/>
          <w:color w:val="000000"/>
          <w:sz w:val="21"/>
        </w:rPr>
        <w:t>[Filed emergency 9/18/86—published 10/8/86, effective 9/18/86]</w:t>
      </w:r>
    </w:p>
    <w:p>
      <w:pPr>
        <w:spacing w:before="0" w:after="0"/>
        <w:ind w:left="120"/>
        <w:jc w:val="center"/>
      </w:pPr>
      <w:r>
        <w:rPr>
          <w:rFonts w:ascii="Times New Roman" w:hAnsi="Times New Roman"/>
          <w:b w:val="false"/>
          <w:i w:val="false"/>
          <w:color w:val="000000"/>
          <w:sz w:val="21"/>
        </w:rPr>
        <w:t>[Filed 11/18/91, Notice 4/17/91—published 12/11/91, effective 1/15/92]</w:t>
      </w:r>
    </w:p>
    <w:p>
      <w:pPr>
        <w:spacing w:before="0" w:after="0"/>
        <w:ind w:left="120"/>
        <w:jc w:val="center"/>
      </w:pPr>
      <w:r>
        <w:rPr>
          <w:rFonts w:ascii="Times New Roman" w:hAnsi="Times New Roman"/>
          <w:b w:val="false"/>
          <w:i w:val="false"/>
          <w:color w:val="000000"/>
          <w:sz w:val="21"/>
        </w:rPr>
        <w:t>[Filed 7/15/92, Notice 12/11/91—published 8/5/92, effective 9/9/92]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10/20/94, Notice 6/22/94—published 11/9/94, effective 12/14/94]</w:t>
      </w:r>
    </w:p>
    <w:p>
      <w:pPr>
        <w:spacing w:before="0" w:after="0"/>
        <w:ind w:left="120"/>
        <w:jc w:val="center"/>
      </w:pPr>
      <w:r>
        <w:rPr>
          <w:rFonts w:ascii="Times New Roman" w:hAnsi="Times New Roman"/>
          <w:b w:val="false"/>
          <w:i w:val="false"/>
          <w:color w:val="000000"/>
          <w:sz w:val="21"/>
        </w:rPr>
        <w:t>[Filed 10/31/97, Notice 5/7/97—published 11/19/97, effective 12/24/97]</w:t>
      </w:r>
    </w:p>
    <w:p>
      <w:pPr>
        <w:spacing w:before="0" w:after="0"/>
        <w:ind w:left="120"/>
        <w:jc w:val="center"/>
      </w:pPr>
      <w:r>
        <w:rPr>
          <w:rFonts w:ascii="Times New Roman" w:hAnsi="Times New Roman"/>
          <w:b w:val="false"/>
          <w:i w:val="false"/>
          <w:color w:val="000000"/>
          <w:sz w:val="21"/>
        </w:rPr>
        <w:t>[Filed 10/13/99, Notice 5/19/99—published 11/3/99, effective 12/8/99]</w:t>
      </w:r>
    </w:p>
    <w:p>
      <w:pPr>
        <w:spacing w:before="0" w:after="0"/>
        <w:ind w:left="120"/>
        <w:jc w:val="center"/>
      </w:pPr>
      <w:r>
        <w:rPr>
          <w:rFonts w:ascii="Times New Roman" w:hAnsi="Times New Roman"/>
          <w:b w:val="false"/>
          <w:i w:val="false"/>
          <w:color w:val="000000"/>
          <w:sz w:val="21"/>
        </w:rPr>
        <w:t>[Filed 3/29/02, Notice 2/6/02—published 4/17/02, effective 5/22/02]</w:t>
      </w:r>
    </w:p>
    <w:p>
      <w:pPr>
        <w:spacing w:before="0" w:after="0"/>
        <w:ind w:left="120"/>
        <w:jc w:val="center"/>
      </w:pPr>
      <w:r>
        <w:rPr>
          <w:rFonts w:ascii="Times New Roman" w:hAnsi="Times New Roman"/>
          <w:b w:val="false"/>
          <w:i w:val="false"/>
          <w:color w:val="000000"/>
          <w:sz w:val="21"/>
        </w:rPr>
        <w:t>[Filed 10/25/02, Notice 3/6/02—published 11/13/02, effective 12/18/02]</w:t>
      </w:r>
    </w:p>
    <w:p>
      <w:pPr>
        <w:spacing w:before="0" w:after="0"/>
        <w:ind w:left="120"/>
        <w:jc w:val="center"/>
      </w:pPr>
      <w:r>
        <w:rPr>
          <w:rFonts w:ascii="Times New Roman" w:hAnsi="Times New Roman"/>
          <w:b w:val="false"/>
          <w:i w:val="false"/>
          <w:color w:val="000000"/>
          <w:sz w:val="21"/>
        </w:rPr>
        <w:t>[Filed 4/24/03, Notice 12/11/02—published 5/14/03, effective 6/18/03]</w:t>
      </w:r>
    </w:p>
    <w:p>
      <w:pPr>
        <w:spacing w:before="0" w:after="0"/>
        <w:ind w:left="120"/>
        <w:jc w:val="center"/>
      </w:pPr>
      <w:r>
        <w:rPr>
          <w:rFonts w:ascii="Times New Roman" w:hAnsi="Times New Roman"/>
          <w:b w:val="false"/>
          <w:i w:val="false"/>
          <w:color w:val="000000"/>
          <w:sz w:val="21"/>
        </w:rPr>
        <w:t>[Filed 9/24/04, Notice 8/18/04—published 10/13/04, effective 11/17/04]</w:t>
      </w:r>
    </w:p>
    <w:p>
      <w:pPr>
        <w:spacing w:before="0" w:after="0"/>
        <w:ind w:left="120"/>
        <w:jc w:val="center"/>
      </w:pPr>
      <w:r>
        <w:rPr>
          <w:rFonts w:ascii="Times New Roman" w:hAnsi="Times New Roman"/>
          <w:b w:val="false"/>
          <w:i w:val="false"/>
          <w:color w:val="000000"/>
          <w:sz w:val="21"/>
        </w:rPr>
        <w:t>[Filed 5/2/07, Notice 3/28/07—published 5/23/07, effective 6/27/07]</w:t>
      </w:r>
    </w:p>
    <w:p>
      <w:pPr>
        <w:spacing w:before="0" w:after="0"/>
        <w:ind w:left="120"/>
        <w:jc w:val="center"/>
      </w:pPr>
      <w:r>
        <w:rPr>
          <w:rFonts w:ascii="Times New Roman" w:hAnsi="Times New Roman"/>
          <w:b w:val="false"/>
          <w:i w:val="false"/>
          <w:color w:val="000000"/>
          <w:sz w:val="21"/>
        </w:rPr>
        <w:t>[Filed 6/14/07, Notice 12/20/06—published 7/4/07, effective 8/8/07]</w:t>
      </w:r>
    </w:p>
    <w:p>
      <w:pPr>
        <w:spacing w:before="0" w:after="0"/>
        <w:ind w:left="120"/>
        <w:jc w:val="center"/>
      </w:pPr>
      <w:r>
        <w:rPr>
          <w:rFonts w:ascii="Times New Roman" w:hAnsi="Times New Roman"/>
          <w:b w:val="false"/>
          <w:i w:val="false"/>
          <w:color w:val="000000"/>
          <w:sz w:val="21"/>
        </w:rPr>
        <w:t>[Filed 12/27/07, Notice 9/26/07—published 1/30/08, effective 3/5/08]</w:t>
      </w:r>
    </w:p>
    <w:p>
      <w:pPr>
        <w:spacing w:before="0" w:after="0"/>
        <w:ind w:left="120"/>
        <w:jc w:val="center"/>
      </w:pPr>
      <w:r>
        <w:rPr>
          <w:rFonts w:ascii="Times New Roman" w:hAnsi="Times New Roman"/>
          <w:b w:val="false"/>
          <w:i w:val="false"/>
          <w:color w:val="000000"/>
          <w:sz w:val="21"/>
        </w:rPr>
        <w:t>[Filed ARC 7962B</w:t>
      </w:r>
      <w:r>
        <w:rPr>
          <w:rFonts w:ascii="Times New Roman" w:hAnsi="Times New Roman"/>
          <w:b w:val="false"/>
          <w:i w:val="false"/>
          <w:color w:val="000000"/>
          <w:sz w:val="21"/>
        </w:rPr>
        <w:t xml:space="preserve"> (Notice ARC 7749B, IAB 5/6/09)</w:t>
      </w:r>
      <w:r>
        <w:rPr>
          <w:rFonts w:ascii="Times New Roman" w:hAnsi="Times New Roman"/>
          <w:b w:val="false"/>
          <w:i w:val="false"/>
          <w:color w:val="000000"/>
          <w:sz w:val="21"/>
        </w:rPr>
        <w:t>, IAB 7/15/09, effective 8/19/09]</w:t>
      </w:r>
    </w:p>
    <w:p>
      <w:pPr>
        <w:spacing w:before="0" w:after="0"/>
        <w:ind w:left="120"/>
        <w:jc w:val="center"/>
      </w:pPr>
      <w:r>
        <w:rPr>
          <w:rFonts w:ascii="Times New Roman" w:hAnsi="Times New Roman"/>
          <w:b w:val="false"/>
          <w:i w:val="false"/>
          <w:color w:val="000000"/>
          <w:sz w:val="21"/>
        </w:rPr>
        <w:t>[Editorial change: IAC Supplement 12/29/10]</w:t>
      </w:r>
    </w:p>
    <w:p>
      <w:pPr>
        <w:spacing w:before="0" w:after="0"/>
        <w:ind w:left="120"/>
        <w:jc w:val="center"/>
      </w:pPr>
      <w:r>
        <w:rPr>
          <w:rFonts w:ascii="Times New Roman" w:hAnsi="Times New Roman"/>
          <w:b w:val="false"/>
          <w:i w:val="false"/>
          <w:color w:val="000000"/>
          <w:sz w:val="21"/>
        </w:rPr>
        <w:t>[Filed ARC 9501B</w:t>
      </w:r>
      <w:r>
        <w:rPr>
          <w:rFonts w:ascii="Times New Roman" w:hAnsi="Times New Roman"/>
          <w:b w:val="false"/>
          <w:i w:val="false"/>
          <w:color w:val="000000"/>
          <w:sz w:val="21"/>
        </w:rPr>
        <w:t xml:space="preserve"> (Notice ARC 9394B, IAB 2/23/11)</w:t>
      </w:r>
      <w:r>
        <w:rPr>
          <w:rFonts w:ascii="Times New Roman" w:hAnsi="Times New Roman"/>
          <w:b w:val="false"/>
          <w:i w:val="false"/>
          <w:color w:val="000000"/>
          <w:sz w:val="21"/>
        </w:rPr>
        <w:t>, IAB 5/18/11, effective 6/22/11]</w:t>
      </w:r>
    </w:p>
    <w:p>
      <w:pPr>
        <w:spacing w:before="0" w:after="0"/>
        <w:ind w:left="120"/>
        <w:jc w:val="center"/>
      </w:pPr>
      <w:r>
        <w:rPr>
          <w:rFonts w:ascii="Times New Roman" w:hAnsi="Times New Roman"/>
          <w:b w:val="false"/>
          <w:i w:val="false"/>
          <w:color w:val="000000"/>
          <w:sz w:val="21"/>
        </w:rPr>
        <w:t>[Filed ARC 1259C</w:t>
      </w:r>
      <w:r>
        <w:rPr>
          <w:rFonts w:ascii="Times New Roman" w:hAnsi="Times New Roman"/>
          <w:b w:val="false"/>
          <w:i w:val="false"/>
          <w:color w:val="000000"/>
          <w:sz w:val="21"/>
        </w:rPr>
        <w:t xml:space="preserve"> (Notice ARC 0784C, IAB 6/12/13)</w:t>
      </w:r>
      <w:r>
        <w:rPr>
          <w:rFonts w:ascii="Times New Roman" w:hAnsi="Times New Roman"/>
          <w:b w:val="false"/>
          <w:i w:val="false"/>
          <w:color w:val="000000"/>
          <w:sz w:val="21"/>
        </w:rPr>
        <w:t>, IAB 1/8/14, effective 2/12/14]</w:t>
      </w:r>
    </w:p>
    <w:p>
      <w:pPr>
        <w:spacing w:before="0" w:after="0"/>
        <w:ind w:left="120"/>
        <w:jc w:val="center"/>
      </w:pPr>
      <w:r>
        <w:rPr>
          <w:rFonts w:ascii="Times New Roman" w:hAnsi="Times New Roman"/>
          <w:b w:val="false"/>
          <w:i w:val="false"/>
          <w:color w:val="000000"/>
          <w:sz w:val="21"/>
        </w:rPr>
        <w:t>[Filed ARC 1359C</w:t>
      </w:r>
      <w:r>
        <w:rPr>
          <w:rFonts w:ascii="Times New Roman" w:hAnsi="Times New Roman"/>
          <w:b w:val="false"/>
          <w:i w:val="false"/>
          <w:color w:val="000000"/>
          <w:sz w:val="21"/>
        </w:rPr>
        <w:t xml:space="preserve"> (Notice ARC 1169C, IAB 11/13/13)</w:t>
      </w:r>
      <w:r>
        <w:rPr>
          <w:rFonts w:ascii="Times New Roman" w:hAnsi="Times New Roman"/>
          <w:b w:val="false"/>
          <w:i w:val="false"/>
          <w:color w:val="000000"/>
          <w:sz w:val="21"/>
        </w:rPr>
        <w:t>, IAB 3/5/14, effective 4/9/14]</w:t>
      </w:r>
    </w:p>
    <w:p>
      <w:pPr>
        <w:spacing w:before="0" w:after="0"/>
        <w:ind w:left="120"/>
        <w:jc w:val="center"/>
      </w:pPr>
      <w:r>
        <w:rPr>
          <w:rFonts w:ascii="Times New Roman" w:hAnsi="Times New Roman"/>
          <w:b w:val="false"/>
          <w:i w:val="false"/>
          <w:color w:val="000000"/>
          <w:sz w:val="21"/>
        </w:rPr>
        <w:t>[Filed ARC 1623C</w:t>
      </w:r>
      <w:r>
        <w:rPr>
          <w:rFonts w:ascii="Times New Roman" w:hAnsi="Times New Roman"/>
          <w:b w:val="false"/>
          <w:i w:val="false"/>
          <w:color w:val="000000"/>
          <w:sz w:val="21"/>
        </w:rPr>
        <w:t xml:space="preserve"> (Notice ARC 1460C, IAB 5/14/14)</w:t>
      </w:r>
      <w:r>
        <w:rPr>
          <w:rFonts w:ascii="Times New Roman" w:hAnsi="Times New Roman"/>
          <w:b w:val="false"/>
          <w:i w:val="false"/>
          <w:color w:val="000000"/>
          <w:sz w:val="21"/>
        </w:rPr>
        <w:t>, IAB 9/17/14, effective 10/22/14]</w:t>
      </w:r>
    </w:p>
    <w:p>
      <w:pPr>
        <w:spacing w:before="0" w:after="0"/>
        <w:ind w:left="120"/>
        <w:jc w:val="center"/>
      </w:pPr>
      <w:r>
        <w:rPr>
          <w:rFonts w:ascii="Times New Roman" w:hAnsi="Times New Roman"/>
          <w:b w:val="false"/>
          <w:i w:val="false"/>
          <w:color w:val="000000"/>
          <w:sz w:val="21"/>
        </w:rPr>
        <w:t>[Filed ARC 2711C</w:t>
      </w:r>
      <w:r>
        <w:rPr>
          <w:rFonts w:ascii="Times New Roman" w:hAnsi="Times New Roman"/>
          <w:b w:val="false"/>
          <w:i w:val="false"/>
          <w:color w:val="000000"/>
          <w:sz w:val="21"/>
        </w:rPr>
        <w:t xml:space="preserve"> (Notice ARC 2499C, IAB 4/13/16)</w:t>
      </w:r>
      <w:r>
        <w:rPr>
          <w:rFonts w:ascii="Times New Roman" w:hAnsi="Times New Roman"/>
          <w:b w:val="false"/>
          <w:i w:val="false"/>
          <w:color w:val="000000"/>
          <w:sz w:val="21"/>
        </w:rPr>
        <w:t>, IAB 9/14/16, effective 10/19/16]</w:t>
      </w:r>
    </w:p>
    <w:p>
      <w:pPr>
        <w:spacing w:before="0" w:after="0"/>
        <w:ind w:left="120"/>
        <w:jc w:val="center"/>
      </w:pPr>
      <w:r>
        <w:rPr>
          <w:rFonts w:ascii="Times New Roman" w:hAnsi="Times New Roman"/>
          <w:b w:val="false"/>
          <w:i w:val="false"/>
          <w:color w:val="000000"/>
          <w:sz w:val="21"/>
        </w:rPr>
        <w:t>[Filed ARC 3010C</w:t>
      </w:r>
      <w:r>
        <w:rPr>
          <w:rFonts w:ascii="Times New Roman" w:hAnsi="Times New Roman"/>
          <w:b w:val="false"/>
          <w:i w:val="false"/>
          <w:color w:val="000000"/>
          <w:sz w:val="21"/>
        </w:rPr>
        <w:t xml:space="preserve"> (Notice ARC 2815C, IAB 11/23/16)</w:t>
      </w:r>
      <w:r>
        <w:rPr>
          <w:rFonts w:ascii="Times New Roman" w:hAnsi="Times New Roman"/>
          <w:b w:val="false"/>
          <w:i w:val="false"/>
          <w:color w:val="000000"/>
          <w:sz w:val="21"/>
        </w:rPr>
        <w:t>, IAB 3/29/17, effective 5/3/17]</w:t>
      </w:r>
    </w:p>
    <w:p>
      <w:pPr>
        <w:spacing w:before="0" w:after="0"/>
        <w:ind w:left="120"/>
        <w:jc w:val="center"/>
      </w:pPr>
      <w:r>
        <w:rPr>
          <w:rFonts w:ascii="Times New Roman" w:hAnsi="Times New Roman"/>
          <w:b w:val="false"/>
          <w:i w:val="false"/>
          <w:color w:val="000000"/>
          <w:sz w:val="21"/>
        </w:rPr>
        <w:t>[Filed ARC 5531C</w:t>
      </w:r>
      <w:r>
        <w:rPr>
          <w:rFonts w:ascii="Times New Roman" w:hAnsi="Times New Roman"/>
          <w:b w:val="false"/>
          <w:i w:val="false"/>
          <w:color w:val="000000"/>
          <w:sz w:val="21"/>
        </w:rPr>
        <w:t xml:space="preserve"> (Notice ARC 5153C, IAB 8/26/20)</w:t>
      </w:r>
      <w:r>
        <w:rPr>
          <w:rFonts w:ascii="Times New Roman" w:hAnsi="Times New Roman"/>
          <w:b w:val="false"/>
          <w:i w:val="false"/>
          <w:color w:val="000000"/>
          <w:sz w:val="21"/>
        </w:rPr>
        <w:t>, IAB 3/24/21, effective 4/28/21]</w:t>
      </w:r>
    </w:p>
    <w:p>
      <w:pPr>
        <w:spacing w:before="0" w:after="0"/>
        <w:ind w:left="120"/>
        <w:jc w:val="center"/>
      </w:pPr>
      <w:r>
        <w:rPr>
          <w:rFonts w:ascii="Times New Roman" w:hAnsi="Times New Roman"/>
          <w:b w:val="false"/>
          <w:i w:val="false"/>
          <w:color w:val="000000"/>
          <w:sz w:val="21"/>
        </w:rPr>
        <w:t>[Editorial change: IAC Supplement 7/24/24]</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76.1.pdf" Type="http://schemas.openxmlformats.org/officeDocument/2006/relationships/hyperlink" Id="rId5"/>
    <Relationship TargetMode="External" Target="https://www.legis.iowa.gov/docs/ico/chapter/476.1B.pdf" Type="http://schemas.openxmlformats.org/officeDocument/2006/relationships/hyperlink" Id="rId6"/>
    <Relationship TargetMode="External" Target="https://www.legis.iowa.gov/docs/ico/chapter/476.2.pdf" Type="http://schemas.openxmlformats.org/officeDocument/2006/relationships/hyperlink" Id="rId7"/>
    <Relationship TargetMode="External" Target="https://www.legis.iowa.gov/docs/ico/chapter/476A.12.pdf" Type="http://schemas.openxmlformats.org/officeDocument/2006/relationships/hyperlink" Id="rId8"/>
    <Relationship TargetMode="External" Target="https://www.legis.iowa.gov/docs/ico/chapter/478.19.pdf" Type="http://schemas.openxmlformats.org/officeDocument/2006/relationships/hyperlink" Id="rId9"/>
    <Relationship TargetMode="External" Target="https://www.legis.iowa.gov/docs/ico/chapter/478.20.pdf" Type="http://schemas.openxmlformats.org/officeDocument/2006/relationships/hyperlink" Id="rId10"/>
    <Relationship TargetMode="External" Target="https://www.legis.iowa.gov/docs/ico/chapter/478.pdf" Type="http://schemas.openxmlformats.org/officeDocument/2006/relationships/hyperlink" Id="rId11"/>
    <Relationship TargetMode="External" Target="https://www.legis.iowa.gov/docs/iac/rule/199.42.6.pdf" Type="http://schemas.openxmlformats.org/officeDocument/2006/relationships/hyperlink" Id="rId12"/>
    <Relationship TargetMode="External" Target="https://www.legis.iowa.gov/docs/iac/rule/661.504.1.pdf" Type="http://schemas.openxmlformats.org/officeDocument/2006/relationships/hyperlink" Id="rId13"/>
    <Relationship TargetMode="External" Target="https://www.legis.iowa.gov/docs/iac/rule/199.25.3.pdf" Type="http://schemas.openxmlformats.org/officeDocument/2006/relationships/hyperlink" Id="rId14"/>
    <Relationship TargetMode="External" Target="https://www.legis.iowa.gov/docs/iac/chapter/199.23.pdf" Type="http://schemas.openxmlformats.org/officeDocument/2006/relationships/hyperlink" Id="rId15"/>
    <Relationship TargetMode="External" Target="https://www.legis.iowa.gov/docs/ico/chapter/25.3.pdf" Type="http://schemas.openxmlformats.org/officeDocument/2006/relationships/hyperlink" Id="rId16"/>
    <Relationship TargetMode="External" Target="https://www.legis.iowa.gov/docs/iac/rule/199.25.4.pdf" Type="http://schemas.openxmlformats.org/officeDocument/2006/relationships/hyperlink" Id="rId17"/>
    <Relationship TargetMode="External" Target="https://www.legis.iowa.gov/docs/iac/rule/199.25.2.pdf" Type="http://schemas.openxmlformats.org/officeDocument/2006/relationships/hyperlink" Id="rId18"/>
    <Relationship TargetMode="External" Target="https://www.legis.iowa.gov/docs/iac/rule/199.25.2.pdf" Type="http://schemas.openxmlformats.org/officeDocument/2006/relationships/hyperlink" Id="rId19"/>
    <Relationship TargetMode="External" Target="https://www.legis.iowa.gov/docs/iac/rule/199.25.2.pdf" Type="http://schemas.openxmlformats.org/officeDocument/2006/relationships/hyperlink" Id="rId20"/>
    <Relationship TargetMode="External" Target="https://www.legis.iowa.gov/docs/iac/rule/199.25.4.pdf" Type="http://schemas.openxmlformats.org/officeDocument/2006/relationships/hyperlink" Id="rId21"/>
    <Relationship TargetMode="External" Target="https://www.legis.iowa.gov/docs/iac/rule/199.25.4.pdf" Type="http://schemas.openxmlformats.org/officeDocument/2006/relationships/hyperlink" Id="rId22"/>
    <Relationship TargetMode="External" Target="https://www.legis.iowa.gov/docs/iac/rule/199.25.4.pdf" Type="http://schemas.openxmlformats.org/officeDocument/2006/relationships/hyperlink" Id="rId23"/>
    <Relationship TargetMode="External" Target="https://www.legis.iowa.gov/docs/iac/chapter/199.6.pdf" Type="http://schemas.openxmlformats.org/officeDocument/2006/relationships/hyperlink" Id="rId24"/>
    <Relationship TargetMode="External" Target="https://www.legis.iowa.gov/docs/iac/rule/199.25.4.pdf" Type="http://schemas.openxmlformats.org/officeDocument/2006/relationships/hyperlink" Id="rId25"/>
    <Relationship TargetMode="External" Target="https://www.legis.iowa.gov/docs/iac/chapter/199.6.pdf" Type="http://schemas.openxmlformats.org/officeDocument/2006/relationships/hyperlink" Id="rId26"/>
    <Relationship TargetMode="External" Target="https://www.legis.iowa.gov/docs/iac/rule/199.25.4.pdf" Type="http://schemas.openxmlformats.org/officeDocument/2006/relationships/hyperlink" Id="rId27"/>
    <Relationship TargetMode="External" Target="https://www.legis.iowa.gov/docs/ico/chapter/476.51.pdf" Type="http://schemas.openxmlformats.org/officeDocument/2006/relationships/hyperlink" Id="rId28"/>
    <Relationship TargetMode="External" Target="mailto:dutyofficer@iuc.iowa.gov" Type="http://schemas.openxmlformats.org/officeDocument/2006/relationships/hyperlink" Id="rId29"/>
    <Relationship TargetMode="External" Target="https://www.legis.iowa.gov/docs/iac/rule/199.25.5.pdf" Type="http://schemas.openxmlformats.org/officeDocument/2006/relationships/hyperlink" Id="rId30"/>
    <Relationship TargetMode="External" Target="https://www.legis.iowa.gov/docs/ico/chapter/478.pdf" Type="http://schemas.openxmlformats.org/officeDocument/2006/relationships/hyperlink" Id="rId3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