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SERVICE SUPPLIED BY RATE-REGULATED ELECTRIC UTILITIES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199—20.1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board shall establish all needful, just and reasonable rules, not inconsistent with law, to govern the exercise of its powers and duties, the practice and procedure before it, and to govern the form, content and filing of reports, documents and other papers necessary to carry out the provisions of this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provides that the Iowa utilities board shall have power to make and enforce rules relating to the location, construction, operation and maintenance of certain electrical transmission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with fewer than 10,000 customers subject to board regulation pursuant to Iowa Code section </w:t>
      </w:r>
      <w:hyperlink r:id="rId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are subject to the regulatory requirements set out in </w:t>
      </w:r>
      <w:hyperlink r:id="rId8">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 xml:space="preserve"> for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 rules shall apply to any rate-regulated electric utility operating within the state of Iowa subject to Iowa Code chapter </w:t>
      </w:r>
      <w:hyperlink r:id="rId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to the extent provided in Iowa Code chapter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and shall supersede all tariffs on file with the board which are in conflict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rules are intended to promote safe and adequate service to the public, to provide standards for uniform and reasonable practices by utilities, and to establish a basis for determining the reasonableness of such demands as may be made by the public upon the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waive the application of any rule on a permanent or temporary basis may be made in accordance with </w:t>
      </w:r>
      <w:hyperlink r:id="rId11">
        <w:r>
          <w:rPr>
            <w:rStyle w:val="Hyperlink"/>
            <w:rFonts w:ascii="Times New Roman" w:hAnsi="Times New Roman"/>
            <w:b w:val="false"/>
            <w:i w:val="false"/>
            <w:color w:val="000000"/>
            <w:sz w:val="22"/>
          </w:rPr>
          <w:t>199—1.3(17A,474,476)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adoption of these rules shall in no way preclude the board from altering or amending them pursuant to statute or from making such modifications with respect to their application as may be found necessary to meet exceptional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These rules shall in no way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“Acid Rain Program” </w:t>
      </w:r>
      <w:r>
        <w:rPr>
          <w:rFonts w:ascii="Times New Roman" w:hAnsi="Times New Roman"/>
          <w:b w:val="false"/>
          <w:i w:val="false"/>
          <w:color w:val="000000"/>
          <w:sz w:val="22"/>
        </w:rPr>
        <w:t>means the sulfur dioxide and nitrogen oxides air pollution control program established pursuant to Title IV of the Act under 40 CFR Parts 72-78.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Clean Air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7401,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unit” </w:t>
      </w:r>
      <w:r>
        <w:rPr>
          <w:rFonts w:ascii="Times New Roman" w:hAnsi="Times New Roman"/>
          <w:b w:val="false"/>
          <w:i w:val="false"/>
          <w:color w:val="000000"/>
          <w:sz w:val="22"/>
        </w:rPr>
        <w:t>means a unit or source that is subject to any emission reduction requirement or limitation under the Acid Rain Program, the Clean Air Interstate Rule (CAIR), the Cross-State Air Pollution Rule (CSAPR), or the Mercury and Air Toxics Standards (MATS), or a unit or source that opts in under 40 CFR Part 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means an authorization, allocated by the United States Environmental Protection Agency (EPA), to emit sulfur dioxide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under the Acid Rain Program or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and nitrogen oxide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under the Clean Air Interstate Rule (CAIR) and the Cross-State Air Pollution Rule (CSAPR) during or after a specified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futures contract” </w:t>
      </w:r>
      <w:r>
        <w:rPr>
          <w:rFonts w:ascii="Times New Roman" w:hAnsi="Times New Roman"/>
          <w:b w:val="false"/>
          <w:i w:val="false"/>
          <w:color w:val="000000"/>
          <w:sz w:val="22"/>
        </w:rPr>
        <w:t>is an agreement between a futures exchange clearinghouse and a buyer or seller to buy or sell an allowance on a specified future date at a specified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utilities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means the instantaneous rate at which energy can be delivered, received, or transferred, measured in kilowatts.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Air Interstate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“CAIR” </w:t>
      </w:r>
      <w:r>
        <w:rPr>
          <w:rFonts w:ascii="Times New Roman" w:hAnsi="Times New Roman"/>
          <w:b w:val="false"/>
          <w:i w:val="false"/>
          <w:color w:val="000000"/>
          <w:sz w:val="22"/>
        </w:rPr>
        <w:t>means the requirements EPA published in the Federal Register (70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25161) on May 12,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as used in these rules, is a statement or question by anyone, whether a utility customer or not, alleging a wrong, grievance, injury, dissatisfaction, illegal action or procedure, dangerous condition or action, or utility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plan” </w:t>
      </w:r>
      <w:r>
        <w:rPr>
          <w:rFonts w:ascii="Times New Roman" w:hAnsi="Times New Roman"/>
          <w:b w:val="false"/>
          <w:i w:val="false"/>
          <w:color w:val="000000"/>
          <w:sz w:val="22"/>
        </w:rPr>
        <w:t>means the document submitted for an affected source to the EPA which specifies the methods by which each affected unit at the source will meet the applicable emissions limitation and emissions reduction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“Cross-State Air Pollution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“CSAPR” </w:t>
      </w:r>
      <w:r>
        <w:rPr>
          <w:rFonts w:ascii="Times New Roman" w:hAnsi="Times New Roman"/>
          <w:b w:val="false"/>
          <w:i w:val="false"/>
          <w:color w:val="000000"/>
          <w:sz w:val="22"/>
        </w:rPr>
        <w:t>means the requirements established by EPA in 40 CFR 97 Subparts AAAAA, BBBBB, CCCCC, and DDDDD as amended by 81 FR 13275 (March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legal entity responsible by law for payment for the electric service or heat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line” </w:t>
      </w:r>
      <w:r>
        <w:rPr>
          <w:rFonts w:ascii="Times New Roman" w:hAnsi="Times New Roman"/>
          <w:b w:val="false"/>
          <w:i w:val="false"/>
          <w:color w:val="000000"/>
          <w:sz w:val="22"/>
        </w:rPr>
        <w:t>means any single or multiphase electric power line operating at nominal voltage in either of the following ranges: 2,000 to 26,000 volts between ungrounded conductors or 1,155 to 15,000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plant” </w:t>
      </w:r>
      <w:r>
        <w:rPr>
          <w:rFonts w:ascii="Times New Roman" w:hAnsi="Times New Roman"/>
          <w:b w:val="false"/>
          <w:i w:val="false"/>
          <w:color w:val="000000"/>
          <w:sz w:val="22"/>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service” </w:t>
      </w:r>
      <w:r>
        <w:rPr>
          <w:rFonts w:ascii="Times New Roman" w:hAnsi="Times New Roman"/>
          <w:b w:val="false"/>
          <w:i w:val="false"/>
          <w:color w:val="000000"/>
          <w:sz w:val="22"/>
        </w:rPr>
        <w:t>is furnishing to the public for compensation any electricity, heat, light, power, or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for emission trade” </w:t>
      </w:r>
      <w:r>
        <w:rPr>
          <w:rFonts w:ascii="Times New Roman" w:hAnsi="Times New Roman"/>
          <w:b w:val="false"/>
          <w:i w:val="false"/>
          <w:color w:val="000000"/>
          <w:sz w:val="22"/>
        </w:rPr>
        <w:t>is an exchange of one type of emission for another type of emission. For example, the exchange of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emission allowances for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xml:space="preserve"> emission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w:t>
      </w:r>
      <w:r>
        <w:rPr>
          <w:rFonts w:ascii="Times New Roman" w:hAnsi="Times New Roman"/>
          <w:b w:val="false"/>
          <w:i w:val="false"/>
          <w:color w:val="000000"/>
          <w:sz w:val="22"/>
        </w:rPr>
        <w:t>means electric energy measured in kilowatt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“Gains and losses from allowance sales” </w:t>
      </w:r>
      <w:r>
        <w:rPr>
          <w:rFonts w:ascii="Times New Roman" w:hAnsi="Times New Roman"/>
          <w:b w:val="false"/>
          <w:i w:val="false"/>
          <w:color w:val="000000"/>
          <w:sz w:val="22"/>
        </w:rPr>
        <w:t>are calculated as the difference between the sale price of allowances sold during the month and the weighted average unit cost of inventoried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“Mercury and Air Toxics Standards”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“MATS” </w:t>
      </w:r>
      <w:r>
        <w:rPr>
          <w:rFonts w:ascii="Times New Roman" w:hAnsi="Times New Roman"/>
          <w:b w:val="false"/>
          <w:i w:val="false"/>
          <w:color w:val="000000"/>
          <w:sz w:val="22"/>
        </w:rPr>
        <w:t>means the requirements established by EPA in 40 CFR Parts 60 and 63 regarding limits of power plant emissions of toxic air pollutants (February 16,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reserve” </w:t>
      </w:r>
      <w:r>
        <w:rPr>
          <w:rFonts w:ascii="Times New Roman" w:hAnsi="Times New Roman"/>
          <w:b w:val="false"/>
          <w:i w:val="false"/>
          <w:color w:val="000000"/>
          <w:sz w:val="22"/>
        </w:rPr>
        <w:t>is a reserve generating capacity required to ensure reliability of generation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“Peaking power” </w:t>
      </w:r>
      <w:r>
        <w:rPr>
          <w:rFonts w:ascii="Times New Roman" w:hAnsi="Times New Roman"/>
          <w:b w:val="false"/>
          <w:i w:val="false"/>
          <w:color w:val="000000"/>
          <w:sz w:val="22"/>
        </w:rPr>
        <w:t>is power and associated energy intended to be available at all times during the commitment and anticipated to have low load factor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w:t>
      </w:r>
      <w:r>
        <w:rPr>
          <w:rFonts w:ascii="Times New Roman" w:hAnsi="Times New Roman"/>
          <w:b w:val="false"/>
          <w:i w:val="false"/>
          <w:color w:val="000000"/>
          <w:sz w:val="22"/>
        </w:rPr>
        <w:t>means electric power measured in kilowatts.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“Price hedging” </w:t>
      </w:r>
      <w:r>
        <w:rPr>
          <w:rFonts w:ascii="Times New Roman" w:hAnsi="Times New Roman"/>
          <w:b w:val="false"/>
          <w:i w:val="false"/>
          <w:color w:val="000000"/>
          <w:sz w:val="22"/>
        </w:rPr>
        <w:t>means using futures contracts or options to guard against unfavorable price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“Rate-regulated utility” </w:t>
      </w:r>
      <w:r>
        <w:rPr>
          <w:rFonts w:ascii="Times New Roman" w:hAnsi="Times New Roman"/>
          <w:b w:val="false"/>
          <w:i w:val="false"/>
          <w:color w:val="000000"/>
          <w:sz w:val="22"/>
        </w:rPr>
        <w:t xml:space="preserve">means any utility, as defined in </w:t>
      </w:r>
      <w:hyperlink r:id="rId12">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,which is subject to board rate regulation under Iowa Code chapter </w:t>
      </w:r>
      <w:hyperlink r:id="rId13">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limitation” </w:t>
      </w:r>
      <w:r>
        <w:rPr>
          <w:rFonts w:ascii="Times New Roman" w:hAnsi="Times New Roman"/>
          <w:b w:val="false"/>
          <w:i w:val="false"/>
          <w:color w:val="000000"/>
          <w:sz w:val="22"/>
        </w:rPr>
        <w:t>means the establishment of a limit on the amount of power that may be consumed by a residential customer through the installation of a service limiter on the customer’s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limiter”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limitation device” </w:t>
      </w:r>
      <w:r>
        <w:rPr>
          <w:rFonts w:ascii="Times New Roman" w:hAnsi="Times New Roman"/>
          <w:b w:val="false"/>
          <w:i w:val="false"/>
          <w:color w:val="000000"/>
          <w:sz w:val="22"/>
        </w:rPr>
        <w:t>means a device that limits a residential customer’s power consumption to 3,600 watts (or some higher level of usage approved by the board) and that resets itself automatically, or can be reset manually by the customer, and may also be reset remotely by the utility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“Speculation” </w:t>
      </w:r>
      <w:r>
        <w:rPr>
          <w:rFonts w:ascii="Times New Roman" w:hAnsi="Times New Roman"/>
          <w:b w:val="false"/>
          <w:i w:val="false"/>
          <w:color w:val="000000"/>
          <w:sz w:val="22"/>
        </w:rPr>
        <w:t>means using futures contracts or options to profit from expectations of future price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the entire body of rates, tolls, rentals, charges, classifications, rules, procedures, policies, etc., adopted and filed with the board by an electric utility in fulfilling its role of furnishing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payment” </w:t>
      </w:r>
      <w:r>
        <w:rPr>
          <w:rFonts w:ascii="Times New Roman" w:hAnsi="Times New Roman"/>
          <w:b w:val="false"/>
          <w:i w:val="false"/>
          <w:color w:val="000000"/>
          <w:sz w:val="22"/>
        </w:rPr>
        <w:t>is a payment on a customer’s account made on or before the date shown on a current bill for service, or on a form which records an agreement between the customer and a utility for a series of partial payments to settle a delinquent account, as the date which determines application of a late payment charge to the current bill or future collection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any person, partnership, business association or corporation, domestic or foreign, owning or operating any facilities for providing electric service or heat to the public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“Vintage trade” </w:t>
      </w:r>
      <w:r>
        <w:rPr>
          <w:rFonts w:ascii="Times New Roman" w:hAnsi="Times New Roman"/>
          <w:b w:val="false"/>
          <w:i w:val="false"/>
          <w:color w:val="000000"/>
          <w:sz w:val="22"/>
        </w:rPr>
        <w:t>is an exchange of one vintage of allowances for another vintage of allowances with the difference in value between vintages being cash or additional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“Weighted average unit cost of inventoried allowances” </w:t>
      </w:r>
      <w:r>
        <w:rPr>
          <w:rFonts w:ascii="Times New Roman" w:hAnsi="Times New Roman"/>
          <w:b w:val="false"/>
          <w:i w:val="false"/>
          <w:color w:val="000000"/>
          <w:sz w:val="22"/>
        </w:rPr>
        <w:t>equals the dollars in inventory at the end of the month divided by the total allowances available for use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“Wheeling service” </w:t>
      </w:r>
      <w:r>
        <w:rPr>
          <w:rFonts w:ascii="Times New Roman" w:hAnsi="Times New Roman"/>
          <w:b w:val="false"/>
          <w:i w:val="false"/>
          <w:color w:val="000000"/>
          <w:sz w:val="22"/>
        </w:rPr>
        <w:t>is the service provided by a utility in consenting to the use of its transmission facilities by another party for the purpose of scheduling delivery of power or energy,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The following abbreviations may be used where appropriate:</w:t>
      </w:r>
    </w:p>
    <w:p>
      <w:pPr>
        <w:spacing w:before="0" w:after="0"/>
        <w:ind w:left="120"/>
        <w:jc w:val="both"/>
      </w:pPr>
      <w:r>
        <w:rPr>
          <w:rFonts w:ascii="Times New Roman" w:hAnsi="Times New Roman"/>
          <w:b w:val="false"/>
          <w:i w:val="false"/>
          <w:color w:val="000000"/>
          <w:sz w:val="22"/>
        </w:rPr>
        <w:t>ANSI—American National Standards Institute, 1430 Broadway, New York, New York 10018.</w:t>
      </w:r>
    </w:p>
    <w:p>
      <w:pPr>
        <w:spacing w:before="0" w:after="0"/>
        <w:ind w:left="120"/>
        <w:jc w:val="both"/>
      </w:pPr>
      <w:r>
        <w:rPr>
          <w:rFonts w:ascii="Times New Roman" w:hAnsi="Times New Roman"/>
          <w:b w:val="false"/>
          <w:i w:val="false"/>
          <w:color w:val="000000"/>
          <w:sz w:val="22"/>
        </w:rPr>
        <w:t>DOE—Department of Energy, Washington, D.C. 20426.</w:t>
      </w:r>
    </w:p>
    <w:p>
      <w:pPr>
        <w:spacing w:before="0" w:after="0"/>
        <w:ind w:left="120"/>
        <w:jc w:val="both"/>
      </w:pPr>
      <w:r>
        <w:rPr>
          <w:rFonts w:ascii="Times New Roman" w:hAnsi="Times New Roman"/>
          <w:b w:val="false"/>
          <w:i w:val="false"/>
          <w:color w:val="000000"/>
          <w:sz w:val="22"/>
        </w:rPr>
        <w:t>EPA—United States Environmental Protection Agency.</w:t>
      </w:r>
    </w:p>
    <w:p>
      <w:pPr>
        <w:spacing w:before="0" w:after="0"/>
        <w:ind w:left="120"/>
        <w:jc w:val="both"/>
      </w:pPr>
      <w:r>
        <w:rPr>
          <w:rFonts w:ascii="Times New Roman" w:hAnsi="Times New Roman"/>
          <w:b w:val="false"/>
          <w:i w:val="false"/>
          <w:color w:val="000000"/>
          <w:sz w:val="22"/>
        </w:rPr>
        <w:t>FCC—Federal Communications Commission, 1919 M Street, Washington, D.C. 20554.</w:t>
      </w:r>
    </w:p>
    <w:p>
      <w:pPr>
        <w:spacing w:before="0" w:after="0"/>
        <w:ind w:left="120"/>
        <w:jc w:val="both"/>
      </w:pPr>
      <w:r>
        <w:rPr>
          <w:rFonts w:ascii="Times New Roman" w:hAnsi="Times New Roman"/>
          <w:b w:val="false"/>
          <w:i w:val="false"/>
          <w:color w:val="000000"/>
          <w:sz w:val="22"/>
        </w:rPr>
        <w:t>FERC—Federal Energy Regulatory Commission, Washington, D.C. 20426.</w:t>
      </w:r>
    </w:p>
    <w:p>
      <w:pPr>
        <w:spacing w:before="0" w:after="0"/>
        <w:ind w:left="120"/>
        <w:jc w:val="both"/>
      </w:pPr>
      <w:r>
        <w:rPr>
          <w:rFonts w:ascii="Times New Roman" w:hAnsi="Times New Roman"/>
          <w:b w:val="false"/>
          <w:i w:val="false"/>
          <w:color w:val="000000"/>
          <w:sz w:val="22"/>
        </w:rPr>
        <w:t>NARUC—National Association of Regulatory Utility Commissioners, P.O. Box 684, Washington, D.C. 20044.</w:t>
      </w:r>
    </w:p>
    <w:p>
      <w:pPr>
        <w:spacing w:before="0" w:after="0"/>
        <w:ind w:left="120"/>
        <w:jc w:val="both"/>
      </w:pPr>
      <w:r>
        <w:rPr>
          <w:rFonts w:ascii="Times New Roman" w:hAnsi="Times New Roman"/>
          <w:b w:val="false"/>
          <w:i w:val="false"/>
          <w:color w:val="000000"/>
          <w:sz w:val="22"/>
        </w:rPr>
        <w:t>NBS—National Bureau of Standards, Washington, D.C. 20234.</w:t>
      </w:r>
    </w:p>
    <w:p>
      <w:pPr>
        <w:spacing w:before="0" w:after="0"/>
        <w:ind w:left="120"/>
        <w:jc w:val="both"/>
      </w:pPr>
      <w:r>
        <w:rPr>
          <w:rFonts w:ascii="Times New Roman" w:hAnsi="Times New Roman"/>
          <w:b w:val="false"/>
          <w:i w:val="false"/>
          <w:color w:val="000000"/>
          <w:sz w:val="22"/>
        </w:rPr>
        <w:t>NFPA—National Fire Protection Association, 470 Atlantic Ave., Boston, Massachusetts 02210.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reports,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color w:val="000000"/>
          <w:sz w:val="22"/>
        </w:rPr>
        <w:t xml:space="preserve">Location and retention of records. </w:t>
      </w:r>
      <w:r>
        <w:rPr>
          <w:rFonts w:ascii="Times New Roman" w:hAnsi="Times New Roman"/>
          <w:b w:val="false"/>
          <w:i w:val="false"/>
          <w:color w:val="000000"/>
          <w:sz w:val="22"/>
        </w:rPr>
        <w:t xml:space="preserve">Unless otherwise specified by this chapter, all records required by these rules shall be kept and preserved in accordance with the applicable provisions of </w:t>
      </w:r>
      <w:hyperlink r:id="rId14">
        <w:r>
          <w:rPr>
            <w:rStyle w:val="Hyperlink"/>
            <w:rFonts w:ascii="Times New Roman" w:hAnsi="Times New Roman"/>
            <w:b w:val="false"/>
            <w:i w:val="false"/>
            <w:color w:val="000000"/>
            <w:sz w:val="22"/>
          </w:rPr>
          <w:t>199—Chapter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board. </w:t>
      </w:r>
      <w:r>
        <w:rPr>
          <w:rFonts w:ascii="Times New Roman" w:hAnsi="Times New Roman"/>
          <w:b w:val="false"/>
          <w:i w:val="false"/>
          <w:color w:val="000000"/>
          <w:sz w:val="22"/>
        </w:rPr>
        <w:t>The schedules of rates and rules of rate-regulated electric utilities shall be filed with the board and shall be classified, designated, arranged and submitted so as to conform to the requirements of this chapter. Provisions of the schedules shall be definite and so stated as to minimize ambiguity or the possibility of misinterpretation. The form, identification and content of tariffs shall be in accordance with these rules. A rate-regulated electric utility’s current tariff will be made available through the board’s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tariff shall be filed electronically using the board’s electronic filing system. The filed tariff shall be capable of being reproduced on 8½- × 11- inch paper so customers may readily view and reproduce copies of the tariff. A tariff filed with the board may be the same format as is required by a federal agency provided that the rules of the board as to title page; identity of superseding, replacing or revision sheets; identity of amending sheets; identity of the filing utility, issuing official, date of issue, effective date; and the words “Tariff with board” shall apply in the modification of the federal agency format for the purposes of filing with this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title page of every tariff and supplement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page shall be the title page which shall show:</w:t>
      </w:r>
    </w:p>
    <w:p>
      <w:pPr>
        <w:spacing w:before="0" w:after="0"/>
        <w:ind w:left="120"/>
        <w:jc w:val="center"/>
      </w:pPr>
      <w:r>
        <w:rPr>
          <w:rFonts w:ascii="Times New Roman" w:hAnsi="Times New Roman"/>
          <w:b w:val="false"/>
          <w:i w:val="false"/>
          <w:color w:val="000000"/>
          <w:sz w:val="22"/>
        </w:rPr>
        <w:t>(Name of Public Utility)</w:t>
      </w:r>
    </w:p>
    <w:p>
      <w:pPr>
        <w:spacing w:before="0" w:after="0"/>
        <w:ind w:left="120"/>
        <w:jc w:val="center"/>
      </w:pPr>
      <w:r>
        <w:rPr>
          <w:rFonts w:ascii="Times New Roman" w:hAnsi="Times New Roman"/>
          <w:b w:val="false"/>
          <w:i w:val="false"/>
          <w:color w:val="000000"/>
          <w:sz w:val="22"/>
        </w:rPr>
        <w:t>Electric Tariff</w:t>
      </w:r>
    </w:p>
    <w:p>
      <w:pPr>
        <w:spacing w:before="0" w:after="0"/>
        <w:ind w:left="120"/>
        <w:jc w:val="center"/>
      </w:pPr>
      <w:r>
        <w:rPr>
          <w:rFonts w:ascii="Times New Roman" w:hAnsi="Times New Roman"/>
          <w:b w:val="false"/>
          <w:i w:val="false"/>
          <w:color w:val="000000"/>
          <w:sz w:val="22"/>
        </w:rPr>
        <w:t>Filed with</w:t>
      </w:r>
    </w:p>
    <w:p>
      <w:pPr>
        <w:spacing w:before="0" w:after="0"/>
        <w:ind w:left="120"/>
        <w:jc w:val="center"/>
      </w:pPr>
      <w:r>
        <w:rPr>
          <w:rFonts w:ascii="Times New Roman" w:hAnsi="Times New Roman"/>
          <w:b w:val="false"/>
          <w:i w:val="false"/>
          <w:color w:val="000000"/>
          <w:sz w:val="22"/>
        </w:rPr>
        <w:t>Iowa Utilities Board</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shall show on the upper right corner of its title page that it supersedes a tariff on file and the number being superseded or replaced, for example:</w:t>
      </w:r>
    </w:p>
    <w:p>
      <w:pPr>
        <w:spacing w:before="0" w:after="0"/>
        <w:ind w:left="120"/>
        <w:jc w:val="both"/>
      </w:pPr>
      <w:r>
        <w:rPr>
          <w:rFonts w:ascii="Times New Roman" w:hAnsi="Times New Roman"/>
          <w:b w:val="false"/>
          <w:i w:val="false"/>
          <w:color w:val="000000"/>
          <w:sz w:val="22"/>
        </w:rPr>
        <w:t>TARIFF NO.</w:t>
      </w:r>
      <w:r>
        <w:rPr>
          <w:rFonts w:ascii="Times New Roman" w:hAnsi="Times New Roman"/>
          <w:b w:val="false"/>
          <w:i w:val="false"/>
          <w:color w:val="000000"/>
          <w:sz w:val="22"/>
        </w:rPr>
        <w:t> </w:t>
      </w:r>
    </w:p>
    <w:p>
      <w:pPr>
        <w:spacing w:before="0" w:after="0"/>
        <w:ind w:left="0"/>
        <w:jc w:val="both"/>
      </w:pPr>
    </w:p>
    <w:p>
      <w:pPr>
        <w:spacing w:before="0" w:after="0"/>
        <w:ind w:left="120"/>
        <w:jc w:val="both"/>
      </w:pPr>
      <w:r>
        <w:rPr>
          <w:rFonts w:ascii="Times New Roman" w:hAnsi="Times New Roman"/>
          <w:b w:val="false"/>
          <w:i w:val="false"/>
          <w:color w:val="000000"/>
          <w:sz w:val="22"/>
        </w:rPr>
        <w:t>SUPERSEDES TARIFF NO.</w:t>
      </w:r>
      <w:r>
        <w:rPr>
          <w:rFonts w:ascii="Times New Roman" w:hAnsi="Times New Roman"/>
          <w:b w:val="false"/>
          <w:i w:val="false"/>
          <w:color w:val="000000"/>
          <w:sz w:val="22"/>
        </w:rPr>
        <w:t> </w:t>
      </w:r>
    </w:p>
    <w:p>
      <w:pPr>
        <w:spacing w:before="0" w:after="0"/>
        <w:ind w:left="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new part of a tariff eliminates an existing part of a tariff it shall so state and clearly indicate the part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tariff modifications as defined above shall be marked in the right-hand margin of the replacing tariff sheet with symbols as here described to indicate the place, nature and extent of the change in text.</w:t>
      </w:r>
    </w:p>
    <w:p>
      <w:pPr>
        <w:spacing w:before="0" w:after="0"/>
        <w:ind w:left="120"/>
        <w:jc w:val="center"/>
      </w:pPr>
      <w:r>
        <w:rPr>
          <w:rFonts w:ascii="Times New Roman" w:hAnsi="Times New Roman"/>
          <w:b w:val="false"/>
          <w:i w:val="false"/>
          <w:color w:val="000000"/>
          <w:sz w:val="22"/>
        </w:rPr>
        <w:t>—Symbols—</w:t>
      </w:r>
    </w:p>
    <w:p>
      <w:pPr>
        <w:spacing w:before="0" w:after="0"/>
        <w:ind w:left="120"/>
        <w:jc w:val="both"/>
      </w:pPr>
      <w:r>
        <w:rPr>
          <w:rFonts w:ascii="Times New Roman" w:hAnsi="Times New Roman"/>
          <w:b w:val="false"/>
          <w:i w:val="false"/>
          <w:color w:val="000000"/>
          <w:sz w:val="22"/>
        </w:rPr>
        <w:t>(C)—Changed regulation</w:t>
      </w:r>
    </w:p>
    <w:p>
      <w:pPr>
        <w:spacing w:before="0" w:after="0"/>
        <w:ind w:left="120"/>
        <w:jc w:val="both"/>
      </w:pPr>
      <w:r>
        <w:rPr>
          <w:rFonts w:ascii="Times New Roman" w:hAnsi="Times New Roman"/>
          <w:b w:val="false"/>
          <w:i w:val="false"/>
          <w:color w:val="000000"/>
          <w:sz w:val="22"/>
        </w:rPr>
        <w:t xml:space="preserve">(D)—Discontinued rate or regulation </w:t>
      </w:r>
    </w:p>
    <w:p>
      <w:pPr>
        <w:spacing w:before="0" w:after="0"/>
        <w:ind w:left="120"/>
        <w:jc w:val="both"/>
      </w:pP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xml:space="preserve">(N)—New rate, treatment or regulation </w:t>
      </w:r>
    </w:p>
    <w:p>
      <w:pPr>
        <w:spacing w:before="0" w:after="0"/>
        <w:ind w:left="120"/>
        <w:jc w:val="both"/>
      </w:pPr>
      <w:r>
        <w:rPr>
          <w:rFonts w:ascii="Times New Roman" w:hAnsi="Times New Roman"/>
          <w:b w:val="false"/>
          <w:i w:val="false"/>
          <w:color w:val="000000"/>
          <w:sz w:val="22"/>
        </w:rPr>
        <w:t>(R)—Reduction in rate or new treatment resulting in reduced rate</w:t>
      </w:r>
    </w:p>
    <w:p>
      <w:pPr>
        <w:spacing w:before="0" w:after="0"/>
        <w:ind w:left="120"/>
        <w:jc w:val="both"/>
      </w:pP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shall have, in addition to the above-stated requirements,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utility under which shall be set forth the words “Filed with board.” If the utility is not a corporation, and a trade name is used, the name of the individual or partners must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Issuing official and issue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(to be left blank by rate-regulated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shall have the following form:</w:t>
      </w:r>
    </w:p>
    <w:tbl>
      <w:tblPr>
        <w:tblW w:w="5000" w:type="pct"/>
        <w:tblCellSpacing w:w="0" w:type="auto"/>
        <w:tblBorders>
          <w:top w:val="none"/>
          <w:left w:val="none"/>
          <w:bottom w:val="none"/>
          <w:right w:val="none"/>
          <w:insideH w:val="none"/>
          <w:insideV w:val="none"/>
        </w:tblBorders>
        <w:tblLayout w:type="fixed"/>
      </w:tblPr>
      <w:tblGrid>
        <w:gridCol w:w="5090"/>
        <w:gridCol w:w="6100"/>
      </w:tblGrid>
      <w:tr>
        <w:trPr>
          <w:trHeight w:val="210" w:hRule="atLeast"/>
        </w:trPr>
        <w:tc>
          <w:tcPr>
            <w:tcW w:w="5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(Company Name)</w:t>
            </w:r>
          </w:p>
        </w:tc>
        <w:tc>
          <w:tcPr>
            <w:tcW w:w="61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 identification)</w:t>
            </w:r>
          </w:p>
        </w:tc>
      </w:tr>
      <w:tr>
        <w:trPr>
          <w:trHeight w:val="210" w:hRule="atLeast"/>
        </w:trPr>
        <w:tc>
          <w:tcPr>
            <w:tcW w:w="5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Electric Tariff</w:t>
            </w:r>
          </w:p>
        </w:tc>
        <w:tc>
          <w:tcPr>
            <w:tcW w:w="61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(This sheet identification)</w:t>
            </w:r>
          </w:p>
        </w:tc>
      </w:tr>
      <w:tr>
        <w:trPr>
          <w:trHeight w:val="210" w:hRule="atLeast"/>
        </w:trPr>
        <w:tc>
          <w:tcPr>
            <w:tcW w:w="5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Filed with board</w:t>
            </w:r>
          </w:p>
        </w:tc>
        <w:tc>
          <w:tcPr>
            <w:tcW w:w="61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(Canceled sheet identification, if any)</w:t>
            </w:r>
          </w:p>
        </w:tc>
      </w:tr>
      <w:tr>
        <w:trPr>
          <w:trHeight w:val="210" w:hRule="atLeast"/>
        </w:trPr>
        <w:tc>
          <w:tcPr>
            <w:tcW w:w="5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(Content or tariff)</w:t>
            </w:r>
          </w:p>
        </w:tc>
      </w:tr>
      <w:tr>
        <w:trPr>
          <w:trHeight w:val="210" w:hRule="atLeast"/>
        </w:trPr>
        <w:tc>
          <w:tcPr>
            <w:tcW w:w="5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Issued: (Date)</w:t>
            </w:r>
          </w:p>
        </w:tc>
        <w:tc>
          <w:tcPr>
            <w:tcW w:w="61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w:t>
            </w:r>
          </w:p>
        </w:tc>
      </w:tr>
      <w:tr>
        <w:trPr>
          <w:trHeight w:val="210" w:hRule="atLeast"/>
        </w:trPr>
        <w:tc>
          <w:tcPr>
            <w:tcW w:w="5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Issued by: (Name, title)</w:t>
            </w:r>
          </w:p>
        </w:tc>
        <w:tc>
          <w:tcPr>
            <w:tcW w:w="61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(Proposed Effective Date:)</w:t>
            </w:r>
          </w:p>
        </w:tc>
      </w:tr>
    </w:tbl>
    <w:p>
      <w:pPr>
        <w:spacing w:before="0" w:after="0"/>
        <w:ind w:left="120"/>
        <w:jc w:val="both"/>
      </w:pPr>
      <w:r>
        <w:rPr>
          <w:rFonts w:ascii="Times New Roman" w:hAnsi="Times New Roman"/>
          <w:b w:val="false"/>
          <w:i w:val="false"/>
          <w:color w:val="000000"/>
          <w:sz w:val="22"/>
        </w:rPr>
        <w:t>The issued date is the date the tariff or the amended sheet content was adopted by the utility.</w:t>
      </w:r>
    </w:p>
    <w:p>
      <w:pPr>
        <w:spacing w:before="0" w:after="0"/>
        <w:ind w:left="120"/>
        <w:jc w:val="both"/>
      </w:pPr>
      <w:r>
        <w:rPr>
          <w:rFonts w:ascii="Times New Roman" w:hAnsi="Times New Roman"/>
          <w:b w:val="false"/>
          <w:i w:val="false"/>
          <w:color w:val="000000"/>
          <w:sz w:val="22"/>
        </w:rPr>
        <w:t>The effective date will be left blank by rate-regulated utilities and shall be determined by the board. The utility may propose an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containing a list of rate schedules and other sections in the order in which they appear showing the sheet numbers of the first page of each rate schedule or other section. In the event the utility filing the tariff elects to segregate a section such as general rules from the section containing the rate schedules or other sections, it may at its option prepare a separate table of contents for each such segregated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preliminary statement containing a brief general explanation of the utility’s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rates for service with indication for each rate of the type and voltage of service and the class of customers to which each rate applies. There shall also be shown any limitations on loads and type of equipment which may be connected, the net prices per unit of service and the number of units per billing period to which the net prices apply, the period of billing, the minimum bill, any effect of transformer capacity upon minimum bill or upon the number of kWh in any step of the rate, method of measuring demands, method of calculating or estimating loads in cases where transformer capacity has a bearing upon minimum bill or size of rate steps, level payment plan, and any special terms or conditions applicable.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voltage and type of service, (direct current or single or polyphase alternating current) supplied in each municipality, but without reference required to any particular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Forms of standard contracts required of customers for the various types of service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service to other utilities or municipalities is furnished at a standard filed rate, either a copy of each signed contract or a copy of the standard uniform contract form together with a summary of the provisions of each signed contract. The summary shall show the principal provisions of the contract and shall include the name and address of the customer, the points where energy is delivered, rate, term, minimum, load conditions, voltage of delivery and any special provisions such as rentals. Standard contracts for such sales as that of energy for resale, street lighting, municipal athletic field lighting, and for water utilities may be filed in summary form as above outlined.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special contracts for the purchase, sale, or interchange of electrical energy. All tariffs must provide that, notwithstanding any other provision of this tariff or contract with reference thereto, all rates and charges contained in this tariff or contract with reference thereto may be modified at any time by a subsequent filing made pursuant to the provisions of Iowa Code chapter </w:t>
      </w:r>
      <w:hyperlink r:id="rId1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list of all communities in which service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list of service areas and the rates shall be filed in a form to facilitate ready determination of the rates available in each municipality and in unincorporated communities that have service. If the utility has various rural rates, the areas where the same are available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Definitions of classes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Extension rules for extending service to new customers indicating what portion of the extension or cost thereof will be furnished by the utility; and if the rule is based on cost, the items of cost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Type of construction which the utility requires the customer to provide if in excess of the Iowa electric safety code or the requirements of the municipality having jurisdiction, whichever may be the most stringent in any particular.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Specification of such portion of service as the utility furnishes, owns, and maintains, such as service drop, service entrance cable or conductors, conduits, service entrance equipment, meter and socket. Indication of the portions of interior wiring such as range or water heater connection, furnished in whole or in part by the utility, and statement indicating final ownership and responsibility for maintaining equipment furnished by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Statement of the type of special construction commonly requested by customers which the utility allows to be connected, and terms upon which such construction will be permitted, with due provision for the avoidance of unjust discrimination as between customers who request special construction and those who do not. This applies, for example, to a case where a customer desires underground service in overhead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Rules with which prospective customers must comply as a condition of receiving service, and the terms of contracts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Rules governing the establishment and maintenance of credit by customers for payment of service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Rules governing the procedure followed in disconnecting and reconnecting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Notice required from a customer for having service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Rules covering temporary, emergency, auxiliary and stand-by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Rules covering the type of equipment which may or may not be connected, including rules such as those requiring demand-limiting devices or power-factor corrective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General statement of the method used in making adjustments for wastage of electricity when accidental grounds exist without the knowledge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Statements of utility rules on meter reading, bill issuance, customer payment, notice of delinquency, and service discontinuance 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for extending service in accordance with </w:t>
      </w:r>
      <w:hyperlink r:id="rId16">
        <w:r>
          <w:rPr>
            <w:rStyle w:val="Hyperlink"/>
            <w:rFonts w:ascii="Times New Roman" w:hAnsi="Times New Roman"/>
            <w:b w:val="false"/>
            <w:i w:val="false"/>
            <w:color w:val="000000"/>
            <w:sz w:val="22"/>
          </w:rPr>
          <w:t>20.3(13)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If a sliding scale or automatic adjustment is applicable to regulated rates and charges of billed customers, the manner and method of such adjustment calculation shall be covered through a detailed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or prospective customer should file a complaint with the utility, and how the complaint will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disconnected customer or potential customer for residential service may negotiate for a payment agreement on amount due, determination of even payment amounts, and time allowed for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w:t>
      </w:r>
      <w:r>
        <w:rPr>
          <w:rFonts w:ascii="Times New Roman" w:hAnsi="Times New Roman"/>
          <w:b w:val="false"/>
          <w:i w:val="false"/>
          <w:color w:val="000000"/>
          <w:sz w:val="22"/>
        </w:rPr>
        <w:t> </w:t>
      </w:r>
      <w:r>
        <w:rPr>
          <w:rFonts w:ascii="Times New Roman" w:hAnsi="Times New Roman"/>
          <w:b w:val="false"/>
          <w:i/>
          <w:color w:val="000000"/>
          <w:sz w:val="22"/>
        </w:rPr>
        <w:t xml:space="preserve">Annual, periodic and other reports to be filed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map verification. The utility shall file annually a verification that it has a currently correct set of utility system maps in accordance with the general requirements of subrule </w:t>
      </w:r>
      <w:hyperlink r:id="rId17">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 xml:space="preserve"> and a statement as to the location of the utility’s offices where such maps, except those deemed confidential by the board, are accessible and available for examination by the board or its agents. The verification and map location information shall also be reported to the board upon other occasions when significant changes occur in either the maps or location of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Accident reports. Rescinded </w:t>
      </w:r>
      <w:r>
        <w:rPr>
          <w:rFonts w:ascii="Times New Roman" w:hAnsi="Times New Roman"/>
          <w:b w:val="false"/>
          <w:i w:val="false"/>
          <w:color w:val="000000"/>
          <w:sz w:val="22"/>
        </w:rPr>
        <w:t>IAB 12/11/91</w:t>
      </w:r>
      <w:r>
        <w:rPr>
          <w:rFonts w:ascii="Times New Roman" w:hAnsi="Times New Roman"/>
          <w:b w:val="false"/>
          <w:i w:val="false"/>
          <w:color w:val="000000"/>
          <w:sz w:val="22"/>
        </w:rPr>
        <w:t xml:space="preserve">, effective 1/15/92. See </w:t>
      </w:r>
      <w:hyperlink r:id="rId18">
        <w:r>
          <w:rPr>
            <w:rStyle w:val="Hyperlink"/>
            <w:rFonts w:ascii="Times New Roman" w:hAnsi="Times New Roman"/>
            <w:b w:val="false"/>
            <w:i w:val="false"/>
            <w:color w:val="000000"/>
            <w:sz w:val="22"/>
          </w:rPr>
          <w:t>199—25.5(476,478)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11/13/02</w:t>
      </w:r>
      <w:r>
        <w:rPr>
          <w:rFonts w:ascii="Times New Roman" w:hAnsi="Times New Roman"/>
          <w:b w:val="false"/>
          <w:i w:val="false"/>
          <w:color w:val="000000"/>
          <w:sz w:val="22"/>
        </w:rPr>
        <w:t>, effective 12/18/02.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Electric service record. Each utility shall compile a monthly record of electric service showing the production, acquisition and disposition of electric energy, the number of customer terminal voltage investigations made, the number of customer meters tested and such other information as may be required by the board. The monthly “Electric Service” record shall be compiled not later than 30 days after the end of the month covered and such record shall, upon and after compilation, be kept available for inspection by the board or its staff at the utility’s principal office within the state of Iowa. A summary of the 12 monthly “Electric Service” records for each calendar year shall be attached to and submitted with the utility’s annual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the board informed currently by written notice as to the location at which the utility keeps the various classes of records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The utility’s current rules, if any, published or furnished by the utility for the use of engineers, architects, electrical contractors, etc., covering meter and service installations shall be maintained and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each type of customer bill form in current use shall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copy of the adjustment calculation shall be provided the board prior to each billing cycle on the forms adopted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1/9/91</w:t>
      </w:r>
      <w:r>
        <w:rPr>
          <w:rFonts w:ascii="Times New Roman" w:hAnsi="Times New Roman"/>
          <w:b w:val="false"/>
          <w:i w:val="false"/>
          <w:color w:val="000000"/>
          <w:sz w:val="22"/>
        </w:rPr>
        <w:t>, effective 2/13/91.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Residential customer statistics. Each rate-regulated electric utility shall file with the board on or before the fifteenth day of each month one copy of the following residential customer statistics for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accounts certified as eligible for energy assistance since the preceding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 on accounts eligible for energy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disconnections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reconnections;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Number of accounts determined uncollectible;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determined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List of persons authorized to receive board inquiries. Each utility shall file with the board in the annual report required in </w:t>
      </w:r>
      <w:hyperlink r:id="rId19">
        <w:r>
          <w:rPr>
            <w:rStyle w:val="Hyperlink"/>
            <w:rFonts w:ascii="Times New Roman" w:hAnsi="Times New Roman"/>
            <w:b w:val="false"/>
            <w:i w:val="false"/>
            <w:color w:val="000000"/>
            <w:sz w:val="22"/>
          </w:rPr>
          <w:t>199—subrule 23.1(2)</w:t>
        </w:r>
      </w:hyperlink>
      <w:r>
        <w:rPr>
          <w:rFonts w:ascii="Times New Roman" w:hAnsi="Times New Roman"/>
          <w:b w:val="false"/>
          <w:i w:val="false"/>
          <w:color w:val="000000"/>
          <w:sz w:val="22"/>
        </w:rPr>
        <w:t xml:space="preserve"> a list of names, titles, addresses, and telephone numbers of persons authorized to receive, act upon, and respond to communications from the board in connection with: (1) general management duties; (2) customer relations (complaints); (3) engineering operations; (4) meter tests and repairs; (5) franchises for electric lines; (6) certificates for electric generating plants. Each utility shall file with the board a telephone contact number where the board can obtain current information 24 hours a day about outages and interruptions of service from a knowledgeable person. The contact information required by this paragraph shall be kept current as changes or corrections are made.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electricity. </w:t>
      </w:r>
      <w:r>
        <w:rPr>
          <w:rFonts w:ascii="Times New Roman" w:hAnsi="Times New Roman"/>
          <w:b w:val="false"/>
          <w:i w:val="false"/>
          <w:color w:val="000000"/>
          <w:sz w:val="22"/>
        </w:rPr>
        <w:t>The meter and associated instrument transformers shall be owned by the utility. The wiring between the instrument transformers and the meter shall be owned or controlled by the utility. The utility shall place a visible seal on all meters in customer use, such that the seal must be broken to gain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electricity sold by a utility shall be on the basis of meter measurement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consumption of electricity may be readily computed without metering;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temporary service installations not otherwise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all electricity delivered to multioccupancy premises within a single building, where units are separately rented or owned, shall be measured on the basis of individual meter measurement for each unit,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electricity is used in centralized heating, cooling, water-heating, or ventilation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 facility is designated for elderly or handicapped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submetering or resale of service was permitted prior to 1966;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individual metering is impractical. “Impractical”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Conditions or structural barriers exist in the multioccupancy building that would make individual meters unsafe or physically impossible to install;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providing individual metering exceeds the long-term benefits of individual metering;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 benefits of individual metering (reduced and controlled energy consumption) are more effectively accomplished through a master meter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multioccupancy building qualifies for master metering under this subparagraph if the predicted annual energy use would result in at least a 30 percent energy savings compared to the predicted annual energy use of a new building meeting the requirements of the State of Iowa Energy Code and operating with equipment, fixtures, and appliances meeting federal energy standards for manufactured devices for a new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existing multioccupancy building qualifies for master metering under this subparagraph when the predicted annual energy use would result in at least a 20 percent energy savings compared to the building’s current annual energy usage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Credits for on-site renewable energy generation shall not be taken into account when determining the predicted energy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report from a qualified, independent third party stating that the proposed building or renovation will meet the energy savings requirements of this subparagraph shall establish a rebuttable presumption of eligibility for master metering. “Qualified, independent third party” means a licensed architect or engineer, a certified residential energy services network home energy rating system (RESNET HERS) rater, or any other professional deemed qualified by the board.</w:t>
      </w:r>
    </w:p>
    <w:p>
      <w:pPr>
        <w:spacing w:before="0" w:after="0"/>
        <w:ind w:left="120"/>
        <w:jc w:val="both"/>
      </w:pPr>
      <w:r>
        <w:rPr>
          <w:rFonts w:ascii="Times New Roman" w:hAnsi="Times New Roman"/>
          <w:b w:val="false"/>
          <w:i w:val="false"/>
          <w:color w:val="000000"/>
          <w:sz w:val="22"/>
        </w:rPr>
        <w:t>If a multioccupancy building is master-metered, the end-user occupants may be charged for electricity as an unidentified portion of the rent, condominium fee, or similar payment, or, if some other method of allocating the cost of the electric service is used, the total charge for electric service shall not exceed the total electric bill charged by the utility for the same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Master metering to multiple buildings is prohibited, except for multiple buildings owned by the same person or entity. Multioccupancy premises within a multiple building complex may be master-metered pursuant to this paragraph only if the requirements of paragraph </w:t>
      </w:r>
      <w:hyperlink r:id="rId21">
        <w:r>
          <w:rPr>
            <w:rStyle w:val="Hyperlink"/>
            <w:rFonts w:ascii="Times New Roman" w:hAnsi="Times New Roman"/>
            <w:b w:val="false"/>
            <w:i w:val="false"/>
            <w:color w:val="000000"/>
            <w:sz w:val="22"/>
          </w:rPr>
          <w:t>20.3(1)</w:t>
        </w:r>
        <w:r>
          <w:rPr>
            <w:rFonts w:ascii="Times New Roman" w:hAnsi="Times New Roman"/>
            <w:b w:val="false"/>
            <w:i/>
            <w:color w:val="000000"/>
            <w:sz w:val="22"/>
          </w:rPr>
          <w:t>“b”</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“master meter” means a single meter used in determining the amount of electricity provided to a multioccupancy building or multiple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to prohibit any utility from requiring more extensive individual metering than otherwise required by this rule if pursuant to tariffs filed with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electricity consumed by the utility shall be on the basis of meter measurement except where consumption may be readily computed without metering, or where metering is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Meter reading records. </w:t>
      </w:r>
      <w:r>
        <w:rPr>
          <w:rFonts w:ascii="Times New Roman" w:hAnsi="Times New Roman"/>
          <w:b w:val="false"/>
          <w:i w:val="false"/>
          <w:color w:val="000000"/>
          <w:sz w:val="22"/>
        </w:rPr>
        <w:t>The meter reading records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Customer’s name, address, and rate schedule or identification of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meter or meters either by permanently marked utility number or by manufacturer’s name, type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Meter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reading has been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applicable multiplier or constant.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color w:val="000000"/>
          <w:sz w:val="22"/>
        </w:rPr>
        <w:t xml:space="preserve">Meter charts.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12/5/18</w:t>
      </w:r>
      <w:r>
        <w:rPr>
          <w:rFonts w:ascii="Times New Roman" w:hAnsi="Times New Roman"/>
          <w:b w:val="false"/>
          <w:i w:val="false"/>
          <w:color w:val="000000"/>
          <w:sz w:val="22"/>
        </w:rPr>
        <w:t>, effective 1/9/19.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color w:val="000000"/>
          <w:sz w:val="22"/>
        </w:rPr>
        <w:t xml:space="preserve">Meter register. </w:t>
      </w:r>
      <w:r>
        <w:rPr>
          <w:rFonts w:ascii="Times New Roman" w:hAnsi="Times New Roman"/>
          <w:b w:val="false"/>
          <w:i w:val="false"/>
          <w:color w:val="000000"/>
          <w:sz w:val="22"/>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such energy conservation initiatives as they desire, except in the individual locations where the utility has experienced vandalism to windows in the protective enclosures. Where remote meter reading is used, whether outdoor on premises or off premises automated, the customer shall also have readable meter registers at the meter. A utility may comply with the requirements of this subrule by making the required information available via the Internet or other equivalent means.</w:t>
      </w:r>
    </w:p>
    <w:p>
      <w:pPr>
        <w:spacing w:before="0" w:after="0"/>
        <w:ind w:left="120"/>
        <w:jc w:val="both"/>
      </w:pPr>
      <w:r>
        <w:rPr>
          <w:rFonts w:ascii="Times New Roman" w:hAnsi="Times New Roman"/>
          <w:b w:val="false"/>
          <w:i w:val="false"/>
          <w:color w:val="000000"/>
          <w:sz w:val="22"/>
        </w:rPr>
        <w:t>Where a delayed processing means is used, the utility may comply by having readable kWh registers only, visually accessible.</w:t>
      </w:r>
    </w:p>
    <w:p>
      <w:pPr>
        <w:spacing w:before="0" w:after="0"/>
        <w:ind w:left="120"/>
        <w:jc w:val="both"/>
      </w:pPr>
      <w:r>
        <w:rPr>
          <w:rFonts w:ascii="Times New Roman" w:hAnsi="Times New Roman"/>
          <w:b w:val="false"/>
          <w:i w:val="false"/>
          <w:color w:val="000000"/>
          <w:sz w:val="22"/>
        </w:rPr>
        <w:t>In instances in which the utility has determined that readable access, to locations existing July 1, 1981, will create a safety hazard, the utility is exempted from the access provisions above.</w:t>
      </w:r>
    </w:p>
    <w:p>
      <w:pPr>
        <w:spacing w:before="0" w:after="0"/>
        <w:ind w:left="120"/>
        <w:jc w:val="both"/>
      </w:pPr>
      <w:r>
        <w:rPr>
          <w:rFonts w:ascii="Times New Roman" w:hAnsi="Times New Roman"/>
          <w:b w:val="false"/>
          <w:i w:val="false"/>
          <w:color w:val="000000"/>
          <w:sz w:val="22"/>
        </w:rPr>
        <w:t>In instances when a building owner has determined that unrestricted access to tenant metering installation would create a vandalism or safety hazard, the utility is exempted from the access provision above.</w:t>
      </w:r>
    </w:p>
    <w:p>
      <w:pPr>
        <w:spacing w:before="0" w:after="0"/>
        <w:ind w:left="120"/>
        <w:jc w:val="both"/>
      </w:pPr>
      <w:r>
        <w:rPr>
          <w:rFonts w:ascii="Times New Roman" w:hAnsi="Times New Roman"/>
          <w:b w:val="false"/>
          <w:i w:val="false"/>
          <w:color w:val="000000"/>
          <w:sz w:val="22"/>
        </w:rPr>
        <w:t>Continuing efforts should be made to eliminate or minimize the number of restricted locations. The utility should assist affected customers in obtaining meter register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color w:val="000000"/>
          <w:sz w:val="22"/>
        </w:rPr>
        <w:t xml:space="preserve">Meter reading and billing interval. </w:t>
      </w:r>
      <w:r>
        <w:rPr>
          <w:rFonts w:ascii="Times New Roman" w:hAnsi="Times New Roman"/>
          <w:b w:val="false"/>
          <w:i w:val="false"/>
          <w:color w:val="000000"/>
          <w:sz w:val="22"/>
        </w:rPr>
        <w:t xml:space="preserve">Readings of all meters used for determining charges and billings to customers shall be scheduled at least monthly and for the beginning and termination of service. Bills to larger customers may, for good cause, be provided weekly or daily for a period not to exceed one month. Intervals other than monthly shall not be applied to smaller customers, or to larger customers after the initial month provided above, without a waiver from the board. A waiver request must include sufficient information to comply with </w:t>
      </w:r>
      <w:hyperlink r:id="rId22">
        <w:r>
          <w:rPr>
            <w:rStyle w:val="Hyperlink"/>
            <w:rFonts w:ascii="Times New Roman" w:hAnsi="Times New Roman"/>
            <w:b w:val="false"/>
            <w:i w:val="false"/>
            <w:color w:val="000000"/>
            <w:sz w:val="22"/>
          </w:rPr>
          <w:t>199—1.3(17A,474,476)</w:t>
        </w:r>
      </w:hyperlink>
      <w:r>
        <w:rPr>
          <w:rFonts w:ascii="Times New Roman" w:hAnsi="Times New Roman"/>
          <w:b w:val="false"/>
          <w:i w:val="false"/>
          <w:color w:val="000000"/>
          <w:sz w:val="22"/>
        </w:rPr>
        <w:t>. If the board denies a waiver, or if a waiver is not sought with respect to a high-demand customer after the initial month, that customer’s meter shall be read monthly for the next 12 months. The group of larger customers to which shorter billing intervals may be applied shall be specified in the utility’s tariff sheets, but shall not include residential customers.</w:t>
      </w:r>
    </w:p>
    <w:p>
      <w:pPr>
        <w:spacing w:before="0" w:after="0"/>
        <w:ind w:left="120"/>
        <w:jc w:val="both"/>
      </w:pPr>
      <w:r>
        <w:rPr>
          <w:rFonts w:ascii="Times New Roman" w:hAnsi="Times New Roman"/>
          <w:b w:val="false"/>
          <w:i w:val="false"/>
          <w:color w:val="000000"/>
          <w:sz w:val="22"/>
        </w:rPr>
        <w:t>An effort shall be made to obtain readings of the meters on corresponding days of each meter reading period. When the meter reading date causes a given billing period to deviate by more than 10 percent (counting only business days) from the normal meter reading period, such bills shall be prorated on a daily basis.</w:t>
      </w:r>
    </w:p>
    <w:p>
      <w:pPr>
        <w:spacing w:before="0" w:after="0"/>
        <w:ind w:left="120"/>
        <w:jc w:val="both"/>
      </w:pPr>
      <w:r>
        <w:rPr>
          <w:rFonts w:ascii="Times New Roman" w:hAnsi="Times New Roman"/>
          <w:b w:val="false"/>
          <w:i w:val="false"/>
          <w:color w:val="000000"/>
          <w:sz w:val="22"/>
        </w:rPr>
        <w:t>The utility may permit the customer to supply the meter readings by telephone, by electronic means, or on a form supplied by the utility. The utility may arrange for customer meter reading forms to be delivered to the utility by United States mail, electronically, or by hand delivery. The utility may arrange for the meter to be read by electronic means. Unless the utility has a plan to test check meter readings, a utility representative shall physically read the meter at least once each 12 months.</w:t>
      </w:r>
    </w:p>
    <w:p>
      <w:pPr>
        <w:spacing w:before="0" w:after="0"/>
        <w:ind w:left="120"/>
        <w:jc w:val="both"/>
      </w:pPr>
      <w:r>
        <w:rPr>
          <w:rFonts w:ascii="Times New Roman" w:hAnsi="Times New Roman"/>
          <w:b w:val="false"/>
          <w:i w:val="false"/>
          <w:color w:val="000000"/>
          <w:sz w:val="22"/>
        </w:rPr>
        <w:t>In the event that the utility leaves a meter reading form with the customer when access to meters cannot be gained and the form is not returned in time for the billing operation, an estimated bill may be provided.</w:t>
      </w:r>
    </w:p>
    <w:p>
      <w:pPr>
        <w:spacing w:before="0" w:after="0"/>
        <w:ind w:left="120"/>
        <w:jc w:val="both"/>
      </w:pPr>
      <w:r>
        <w:rPr>
          <w:rFonts w:ascii="Times New Roman" w:hAnsi="Times New Roman"/>
          <w:b w:val="false"/>
          <w:i w:val="false"/>
          <w:color w:val="000000"/>
          <w:sz w:val="22"/>
        </w:rPr>
        <w:t>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w:t>
      </w:r>
      <w:r>
        <w:rPr>
          <w:rFonts w:ascii="Times New Roman" w:hAnsi="Times New Roman"/>
          <w:b w:val="false"/>
          <w:i w:val="false"/>
          <w:color w:val="000000"/>
          <w:sz w:val="22"/>
        </w:rPr>
        <w:t> </w:t>
      </w:r>
      <w:r>
        <w:rPr>
          <w:rFonts w:ascii="Times New Roman" w:hAnsi="Times New Roman"/>
          <w:b w:val="false"/>
          <w:i/>
          <w:color w:val="000000"/>
          <w:sz w:val="22"/>
        </w:rPr>
        <w:t xml:space="preserve">Demand meter registration. </w:t>
      </w:r>
      <w:r>
        <w:rPr>
          <w:rFonts w:ascii="Times New Roman" w:hAnsi="Times New Roman"/>
          <w:b w:val="false"/>
          <w:i w:val="false"/>
          <w:color w:val="000000"/>
          <w:sz w:val="22"/>
        </w:rPr>
        <w:t>When a demand meter is used for billing, the meter installation should be designed so that the highest expected annual demand reading to be used for billing will appear in the upper half of the meter’s range.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w:t>
      </w:r>
      <w:r>
        <w:rPr>
          <w:rFonts w:ascii="Times New Roman" w:hAnsi="Times New Roman"/>
          <w:b w:val="false"/>
          <w:i w:val="false"/>
          <w:color w:val="000000"/>
          <w:sz w:val="22"/>
        </w:rPr>
        <w:t> </w:t>
      </w:r>
      <w:r>
        <w:rPr>
          <w:rFonts w:ascii="Times New Roman" w:hAnsi="Times New Roman"/>
          <w:b w:val="false"/>
          <w:i/>
          <w:color w:val="000000"/>
          <w:sz w:val="22"/>
        </w:rPr>
        <w:t xml:space="preserve">Service areas. </w:t>
      </w:r>
      <w:r>
        <w:rPr>
          <w:rFonts w:ascii="Times New Roman" w:hAnsi="Times New Roman"/>
          <w:b w:val="false"/>
          <w:i w:val="false"/>
          <w:color w:val="000000"/>
          <w:sz w:val="22"/>
        </w:rPr>
        <w:t xml:space="preserve">Service areas are defined by the boundaries on service area maps. Electronic maps are available for viewing during regular business hours at the board’s offices. Maps are also available for viewing on the board’s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w:t>
      </w:r>
      <w:r>
        <w:rPr>
          <w:rFonts w:ascii="Times New Roman" w:hAnsi="Times New Roman"/>
          <w:b w:val="false"/>
          <w:i w:val="false"/>
          <w:color w:val="000000"/>
          <w:sz w:val="22"/>
        </w:rPr>
        <w:t> </w:t>
      </w:r>
      <w:r>
        <w:rPr>
          <w:rFonts w:ascii="Times New Roman" w:hAnsi="Times New Roman"/>
          <w:b w:val="false"/>
          <w:i/>
          <w:color w:val="000000"/>
          <w:sz w:val="22"/>
        </w:rPr>
        <w:t xml:space="preserve"> Modification of service area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exclusive service area is subject to modification through a contested case proceeding which may be commenced by filing a petition for modification of service area with the board. The board may commence a service area modification proceeding on its own motion. The board may grant a modification if the modification promotes the public interest. In determining whether the modification is in the public interest, the board will consider the factors described in Iowa Code section </w:t>
      </w:r>
      <w:hyperlink r:id="rId23">
        <w:r>
          <w:rPr>
            <w:rStyle w:val="Hyperlink"/>
            <w:rFonts w:ascii="Times New Roman" w:hAnsi="Times New Roman"/>
            <w:b w:val="false"/>
            <w:i w:val="false"/>
            <w:color w:val="000000"/>
            <w:sz w:val="22"/>
          </w:rPr>
          <w:t>476.25(1)</w:t>
        </w:r>
      </w:hyperlink>
      <w:r>
        <w:rPr>
          <w:rFonts w:ascii="Times New Roman" w:hAnsi="Times New Roman"/>
          <w:b w:val="false"/>
          <w:i w:val="false"/>
          <w:color w:val="000000"/>
          <w:sz w:val="22"/>
        </w:rPr>
        <w:t xml:space="preserve"> and 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may file a petition for modification of service area, which shall contain (1) a legal description of the service area desired, (2) a designation of the utilities involved in each boundary section, (3) a justification for the proposed service area modification, and (4) in addition to the PDF (Portable Document Format) required in </w:t>
      </w:r>
      <w:hyperlink r:id="rId24">
        <w:r>
          <w:rPr>
            <w:rStyle w:val="Hyperlink"/>
            <w:rFonts w:ascii="Times New Roman" w:hAnsi="Times New Roman"/>
            <w:b w:val="false"/>
            <w:i w:val="false"/>
            <w:color w:val="000000"/>
            <w:sz w:val="22"/>
          </w:rPr>
          <w:t>199—subrule 14.8(1)</w:t>
        </w:r>
      </w:hyperlink>
      <w:r>
        <w:rPr>
          <w:rFonts w:ascii="Times New Roman" w:hAnsi="Times New Roman"/>
          <w:b w:val="false"/>
          <w:i w:val="false"/>
          <w:color w:val="000000"/>
          <w:sz w:val="22"/>
        </w:rPr>
        <w:t xml:space="preserve">, an electronic file of the proposed service area boundaries, in a format designated by the board, as described on the electronic filing system (EFS) homepage under EFS Filing Standards. The justification shall include a detailed statement of why the proposed modification is in the public interest. A map showing the affected areas which complies with paragraph </w:t>
      </w:r>
      <w:hyperlink r:id="rId25">
        <w:r>
          <w:rPr>
            <w:rStyle w:val="Hyperlink"/>
            <w:rFonts w:ascii="Times New Roman" w:hAnsi="Times New Roman"/>
            <w:b w:val="false"/>
            <w:i w:val="false"/>
            <w:color w:val="000000"/>
            <w:sz w:val="22"/>
          </w:rPr>
          <w:t>20.3(11)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attached to the petition as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of the petition with the board, and service to other parties, shall be in accordance with </w:t>
      </w:r>
      <w:hyperlink r:id="rId2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answer to a petition for a service area modification shall comply with </w:t>
      </w:r>
      <w:hyperlink r:id="rId27">
        <w:r>
          <w:rPr>
            <w:rStyle w:val="Hyperlink"/>
            <w:rFonts w:ascii="Times New Roman" w:hAnsi="Times New Roman"/>
            <w:b w:val="false"/>
            <w:i w:val="false"/>
            <w:color w:val="000000"/>
            <w:sz w:val="22"/>
          </w:rPr>
          <w:t>199—subrule 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may agree to service area modifications by contract pursuant to Iowa Code section </w:t>
      </w:r>
      <w:hyperlink r:id="rId28">
        <w:r>
          <w:rPr>
            <w:rStyle w:val="Hyperlink"/>
            <w:rFonts w:ascii="Times New Roman" w:hAnsi="Times New Roman"/>
            <w:b w:val="false"/>
            <w:i w:val="false"/>
            <w:color w:val="000000"/>
            <w:sz w:val="22"/>
          </w:rPr>
          <w:t>476.25(2)</w:t>
        </w:r>
      </w:hyperlink>
      <w:r>
        <w:rPr>
          <w:rFonts w:ascii="Times New Roman" w:hAnsi="Times New Roman"/>
          <w:b w:val="false"/>
          <w:i w:val="false"/>
          <w:color w:val="000000"/>
          <w:sz w:val="22"/>
        </w:rPr>
        <w:t>. Contracts to be enforceable require board approval. The board shall approve a contract if the board finds that the contract will eliminate or avoid unnecessary duplication of facilities, will provide adequate electric service to all areas and customers affected, will promote the efficient and economical use and development of the electric systems of the contracting utilities, and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20.3(10)</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 xml:space="preserve">Any electric utility or municipal corporation requesting a service territory modification pursuant to subrule </w:t>
      </w:r>
      <w:hyperlink r:id="rId29">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 xml:space="preserve"> which would result in service to a customer by a utility other than the utility currently serving the customer must also petition the board for a certificate of authority under Iowa Code section </w:t>
      </w:r>
      <w:hyperlink r:id="rId30">
        <w:r>
          <w:rPr>
            <w:rStyle w:val="Hyperlink"/>
            <w:rFonts w:ascii="Times New Roman" w:hAnsi="Times New Roman"/>
            <w:b w:val="false"/>
            <w:i w:val="false"/>
            <w:color w:val="000000"/>
            <w:sz w:val="22"/>
          </w:rPr>
          <w:t>476.23</w:t>
        </w:r>
      </w:hyperlink>
      <w:r>
        <w:rPr>
          <w:rFonts w:ascii="Times New Roman" w:hAnsi="Times New Roman"/>
          <w:b w:val="false"/>
          <w:i w:val="false"/>
          <w:color w:val="000000"/>
          <w:sz w:val="22"/>
        </w:rPr>
        <w:t>. The electric utility or municipal corporation shall pay the party currently serving the customer a reasonable price for the facilities serving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color w:val="000000"/>
          <w:sz w:val="22"/>
        </w:rPr>
        <w:t xml:space="preserve">Maps.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 current map or set of maps showing the physical location of electric lines, stations, and electric transmission facilities for its service areas. The maps shall include the exact location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Generating stations with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power supply points with maximum contracted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Purchased power metering points if located at other than power delivery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Transmission lines with size and type of conductor designation and operating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Transmission-to-transmission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Transmission-to-distribution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Distribution lines with size and type of conductor designation, phase designation and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points at which transmission, distribution or secondary lines of the utility cross Iowa state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All current information required in Iowa Code section </w:t>
      </w:r>
      <w:hyperlink r:id="rId31">
        <w:r>
          <w:rPr>
            <w:rStyle w:val="Hyperlink"/>
            <w:rFonts w:ascii="Times New Roman" w:hAnsi="Times New Roman"/>
            <w:b w:val="false"/>
            <w:i w:val="false"/>
            <w:color w:val="000000"/>
            <w:sz w:val="22"/>
          </w:rPr>
          <w:t>476.24(1)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county boundaries and county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Natural and artificial lakes which cover more than 50 acres and all 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maps, except those deemed confidential by the board, shall be available for examination at the utility’s designated offices during the utility’s regular office hours. The maps shall be drawn with clean, uniform lines to a scale of one inch per mile. A large scale shall be used where it is necessary to clarify areas where there is a heavy concentration of facilities. All cartographic details shall be clean cut, and the background shall contain little or no coloration or shading.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color w:val="000000"/>
          <w:sz w:val="22"/>
        </w:rPr>
        <w:t xml:space="preserve">Prepayment meters. </w:t>
      </w:r>
      <w:r>
        <w:rPr>
          <w:rFonts w:ascii="Times New Roman" w:hAnsi="Times New Roman"/>
          <w:b w:val="false"/>
          <w:i w:val="false"/>
          <w:color w:val="000000"/>
          <w:sz w:val="22"/>
        </w:rPr>
        <w:t>Prepayment meters shall not be geared or set so as to result in the charge of a rate or amount higher than would be paid if a standard type meter were used, except under tariffs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electrical line extensions and 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for construction,” </w:t>
      </w:r>
      <w:r>
        <w:rPr>
          <w:rFonts w:ascii="Times New Roman" w:hAnsi="Times New Roman"/>
          <w:b w:val="false"/>
          <w:i w:val="false"/>
          <w:color w:val="000000"/>
          <w:sz w:val="22"/>
        </w:rPr>
        <w:t>as used in this subrule, means cash payments or equivalent surety made to the utility by an applicant for an extensive plant addition or an electrical line extension, portions of which may be refunded depending on the attachment of any subsequent service line made to the extensive plant addition or electrical line extension. Cash payments or equivalent surety shall include a grossed-up amount for the income tax effect of such revenue. The amount of tax shall be reduced by the present value of the tax benefits to be obtained by depreciating the property in determining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as used in this subrule, 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as used in this subrule, 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“Electrical line extensions” </w:t>
      </w:r>
      <w:r>
        <w:rPr>
          <w:rFonts w:ascii="Times New Roman" w:hAnsi="Times New Roman"/>
          <w:b w:val="false"/>
          <w:i w:val="false"/>
          <w:color w:val="000000"/>
          <w:sz w:val="22"/>
        </w:rPr>
        <w:t xml:space="preserve">means distribution line extensions and secondary line extensions as defined in subrule </w:t>
      </w:r>
      <w:hyperlink r:id="rId32">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except for service lines as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“Equivalent overhead transformer cost,” </w:t>
      </w:r>
      <w:r>
        <w:rPr>
          <w:rFonts w:ascii="Times New Roman" w:hAnsi="Times New Roman"/>
          <w:b w:val="false"/>
          <w:i w:val="false"/>
          <w:color w:val="000000"/>
          <w:sz w:val="22"/>
        </w:rPr>
        <w:t>as used in this subrule, is that transformer capitalized cost, or fraction thereof, that would be required for similarly situated customers served by a pole-mounted or platform-mounted transformer(s). For each overhead service, it shall be the capitalized cost of the transformer(s) divided by the number of customers served by that transformer(s). For each underground service, it shall be the capitalized cost of an overhead transformer(s) with the same voltage and volt-ampere rating divided by the number of customers served by that transformer(s).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as used in this subrule, shall be calculated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base revenues,” </w:t>
      </w:r>
      <w:r>
        <w:rPr>
          <w:rFonts w:ascii="Times New Roman" w:hAnsi="Times New Roman"/>
          <w:b w:val="false"/>
          <w:i w:val="false"/>
          <w:color w:val="000000"/>
          <w:sz w:val="22"/>
        </w:rPr>
        <w:t>as used in this subrule, shall be calculated by subtracting the fuel expense costs as described in the uniform system of accounts as adopted by the board and energy efficiency charges from the estimated annual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as used in this subrule, shall be calculated using average current costs in accordance with good engineering practices and upon the following factors: amount of service required or desired by the customer requesting the electrical line extension or service line; size, location, and characteristics of the electrical line extension or service line, including appurtenances, except equivalent overhead transformer cost; and whether the ground is frozen or whether other adverse conditions exist. In no event shall estimated construction costs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addition,” </w:t>
      </w:r>
      <w:r>
        <w:rPr>
          <w:rFonts w:ascii="Times New Roman" w:hAnsi="Times New Roman"/>
          <w:b w:val="false"/>
          <w:i w:val="false"/>
          <w:color w:val="000000"/>
          <w:sz w:val="22"/>
        </w:rPr>
        <w:t>as used in this subrule, means any additional plant required to be constructed to provide service to a customer other than an electrical line extension or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attachment” </w:t>
      </w:r>
      <w:r>
        <w:rPr>
          <w:rFonts w:ascii="Times New Roman" w:hAnsi="Times New Roman"/>
          <w:b w:val="false"/>
          <w:i w:val="false"/>
          <w:color w:val="000000"/>
          <w:sz w:val="22"/>
        </w:rPr>
        <w:t>is that point of first physical attachment of the utilities’ service drop (overhead) or service lateral (underground) conductors to the customer’s service entrance conductors. For overhead services it shall be the point of tap or splice to the service entrance conductors. For underground services it shall be the point of tap or splice to the service entrance conductors in a terminal box or meter or other enclosure with adequate space inside or outside the building wall. If there is no terminal box, meter, or other enclosure with adequate space, it shall be the point of entrance into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 xml:space="preserve">as used in this subrule, means any secondary line extension, as defined in subrule </w:t>
      </w:r>
      <w:hyperlink r:id="rId33">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on private property serving a single customer or point of attachment of electric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as used in this subrule, 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as used in this subrule, means a rate-regulated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w:t>
      </w:r>
      <w:r>
        <w:rPr>
          <w:rFonts w:ascii="Times New Roman" w:hAnsi="Times New Roman"/>
          <w:b w:val="false"/>
          <w:i w:val="false"/>
          <w:color w:val="000000"/>
          <w:sz w:val="22"/>
        </w:rPr>
        <w:t>The utility shall provide all electric plant at its cost and expense without requiring an advance for construction from customers or developers except in those unusual circumstances where extensive plant additions are required before the customer can be served. A written contract between the utility and the customer which requires an advance for construction by the customer to make plant additions shall be available for board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line extensions. </w:t>
      </w:r>
      <w:r>
        <w:rPr>
          <w:rFonts w:ascii="Times New Roman" w:hAnsi="Times New Roman"/>
          <w:b w:val="false"/>
          <w:i w:val="false"/>
          <w:color w:val="000000"/>
          <w:sz w:val="22"/>
        </w:rPr>
        <w:t>Where the customer will attach to the electrical line extension within the agreed-upon attachment period after completion of the electrical line extension,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make the electrical line extension for a customer without requiring an advance for construction if the estimated construction costs to provide an electrical line extension are less than or equal to three times estimated base revenue calculated on the basis of similarly situated customers. The utility may use a feasibility model, rather than three times estimated base revenue, to determine what, if any, advance for construction is required by the customer. The utility shall file a summary explaining the inputs into the feasibility model and a description of the model as part of the utility’s tariff.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an electrical line extension is greater than three times estimated base revenue calculated on the basis of similarly situated customers, the applicant for the electrical line extension shall contract with the utility and make, no more than 30 days prior to commencement of construction, an advance for construction equal to the estimated construction cost less three times estimated base revenue to be produced by the customer. The utility may use a feasibility model to determine whether an advance for construction is required. The utility shall file a summary explaining the inputs into the feasibility model and a description of the model as part of the utility’s tariff. A written contract between the utility and the customer shall be available for board inspection upon request.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electrical line extension, the applicant for the electrical line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board inspection upon request.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Advances for construction may be paid by cash or equivalent surety and shall be refundable for ten years. The customer has the option of providing an advance for construction by cash or equivalent surety unless the utility determines that the customer has failed to comply with the conditions of a surety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Refunds. When the customer is required to make an advance for construction, the utility shall refund to the depositor for a period of ten years from the date of the original advance a pro-rata share for each service line attached to the electrical line extension. The pro-rata refund shall be computed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combined total of three times estimated base revenue, or the amount allowed by the feasibility model, for the electrical line extension and each service line attached to the electrical line extension exceeds the total estimated construction cost to provide the electrical line extension, the entire amount of the advance for construction provided shall be refunded.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combined total of three times estimated base revenue, or the amount allowed by the feasibility model, for the electrical line extension and each service line attached to the electrical line extension is less than the total estimated construction cost to provide the electrical line extension, the amount to be refunded shall equal three times estimated base revenue, or the amount allowed by the feasibility model, when a service line is attached to the electrical line extension.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no event shall the total amount to be refunded exceed the amount of the advance for construction. Any amounts subject to refund shall be paid by the utility without interest. At the expiration of the above-described ten-year period, the advance for construction record shall be closed and the remaining balance shall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 record of each work order under which the electrical line extension was installed, to include the estimated revenues, the estimated construction costs, the amount of any payment received, and any refunds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construct either an overhead or underground service line without requiring a nonrefundable contribution in aid of construction or any payment by the applicant where the length of the overhead service line to the first point of attachment is up to 50 feet on private property or where the cost of the underground service line to the meter or service disconnect is less than or equal to the estimated cost of constructing an equivalent overhead service line of up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length of the overhead service line exceeds 50 feet on private property, the applicant shall be required to provide a nonrefundable contribution in aid of construction for that portion of the service line on private property, exclusive of the point of attachment, within 30 days after completion. The nonrefundable contribution in aid of construction for that portion of the service line shall be computed as follows:</w:t>
      </w:r>
    </w:p>
    <w:p>
      <w:pPr>
        <w:spacing w:before="0" w:after="0"/>
        <w:ind w:left="120"/>
        <w:jc w:val="both"/>
      </w:pPr>
      <w:r>
        <w:rPr>
          <w:rFonts w:ascii="Times New Roman" w:hAnsi="Times New Roman"/>
          <w:b w:val="false"/>
          <w:i w:val="false"/>
          <w:color w:val="000000"/>
          <w:sz w:val="22"/>
        </w:rPr>
        <w:t>(Estimated Construction Costs) ×</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25" w:hRule="atLeast"/>
        </w:trPr>
        <w:tc>
          <w:tcPr>
            <w:tcW w:w="111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in Excess of 50 Feet)</w:t>
            </w:r>
          </w:p>
        </w:tc>
      </w:tr>
      <w:tr>
        <w:trPr>
          <w:trHeight w:val="22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of Service 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cost of the underground service line exceeds the estimated cost of constructing an equivalent overhead service line of up to 50 feet, the applicant shall be required to provide a nonrefundable contribution in aid of construction within 30 days after completion equal to the difference between the estimated cost of constructing the underground service line and the estimated cost of constructing an equivalent overhead service line of up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utility may adopt a tariff or rule that allows the utility to finance and construct a service line of more than 50 feet without requiring a nonrefundable contribution in aid of construction from the customer if the tariff or rule applies equally to all customers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the construction of the service line would otherwise require a payment from the customer, the utility shall charge the customer for actual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shall not be required to make electrical line extensions or install service lines as described in this subrule, unless the electrical line extension or service line shall be of a permanent nature. When the utility provides a temporary service to a customer, the utility may require that the customer bear all the cost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Different payment arrangement. </w:t>
      </w:r>
      <w:r>
        <w:rPr>
          <w:rFonts w:ascii="Times New Roman" w:hAnsi="Times New Roman"/>
          <w:b w:val="false"/>
          <w:i w:val="false"/>
          <w:color w:val="000000"/>
          <w:sz w:val="22"/>
        </w:rPr>
        <w:t>This subrule shall not be construed as prohibiting any utility from making a contract with a customer using a different payment arrangement, if the contract provides a more favorable payment arrangement to the customer, so long as no discrimination is practiced among customers.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7584B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transmission and distribution systems, together with such other information as may be necessary to enable the utility to advise prospective customers, and others entitled to the information, as to the facilities available for serving prospective customers in its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customer or prospective customer in selecting the most economical rate schedule available for the customer’s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customers affected by a change in rates or schedule classification in the manner provided in the rules of practice and procedure before the board. </w:t>
      </w:r>
      <w:hyperlink r:id="rId35">
        <w:r>
          <w:rPr>
            <w:rStyle w:val="Hyperlink"/>
            <w:rFonts w:ascii="Times New Roman" w:hAnsi="Times New Roman"/>
            <w:b w:val="false"/>
            <w:i w:val="false"/>
            <w:color w:val="000000"/>
            <w:sz w:val="22"/>
          </w:rPr>
          <w:t>(199—26.5(476))</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 schedules and rules relating to the service of the utility, as filed with the board, are available for public inspection. If the utility has provided access to its rate schedules and rules for service on its website, the notice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inform its customers as to the method of reading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on the bill form, that tariff and rate schedule information is available upon request at the utility’s local business office. If the utility provides access to its tariff and rate schedules on its website, the bill form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request, transmit a statement of either the customer’s actual consumption, or degree day adjusted consumption, at the company’s option, of electricity for each billing during the prior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Furnish such additional information as the customer may reasonably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Customer contact employee qualifications. </w:t>
      </w:r>
      <w:r>
        <w:rPr>
          <w:rFonts w:ascii="Times New Roman" w:hAnsi="Times New Roman"/>
          <w:b w:val="false"/>
          <w:i w:val="false"/>
          <w:color w:val="000000"/>
          <w:sz w:val="22"/>
        </w:rPr>
        <w:t>Each utility shall promptly and courteously resolve inquiries for information or complaints.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Board by calling (515)725-7321, or toll-free 1-877-565-4450, or by writing to 1375 E. Court Avenue, Des Moines, Iowa 50319-0069, or by email to </w:t>
      </w:r>
      <w:hyperlink r:id="rId36">
        <w:r>
          <w:rPr>
            <w:rStyle w:val="Hyperlink"/>
            <w:rFonts w:ascii="Times New Roman" w:hAnsi="Times New Roman"/>
            <w:b w:val="false"/>
            <w:i w:val="false"/>
            <w:color w:val="000000"/>
            <w:sz w:val="22"/>
            <w:u w:val="single"/>
          </w:rPr>
          <w:t>customer@iub.iowa.gov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bill insert or notice on the bill shall be provided monthly.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may require from any customer or prospective customer a deposit intended to guarantee partial payment of bills for service. Each utility shall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reasonable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The new or additional deposit shall be payable at any of the utility’s business offices or local authorized agents. An appropriate receipt shall be provided. No written notice is required to be given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deposit shall be required as a condition for service other than determined by application of either credit rating or deposit calculation criteria, or both, of the filed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deposit for any residential or commercial customer for a place which has previously received service shall not be greater than the highest billing of service for one month for the place in the previous 12-month period. The deposit for any residential or commercial customer for a place which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rate-regulated utility to each customer required to make a deposit. On or after April 21, 1994, rate-regulated utilities shall compute interest on customer deposits at 7.5 percent per annum, compounded annually. Interest for prior periods shall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 records. </w:t>
      </w:r>
      <w:r>
        <w:rPr>
          <w:rFonts w:ascii="Times New Roman" w:hAnsi="Times New Roman"/>
          <w:b w:val="false"/>
          <w:i w:val="false"/>
          <w:color w:val="000000"/>
          <w:sz w:val="22"/>
        </w:rPr>
        <w:t>Each utility shall keep records to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and date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transaction concerning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Customer’s receipt for a deposit. </w:t>
      </w:r>
      <w:r>
        <w:rPr>
          <w:rFonts w:ascii="Times New Roman" w:hAnsi="Times New Roman"/>
          <w:b w:val="false"/>
          <w:i w:val="false"/>
          <w:color w:val="000000"/>
          <w:sz w:val="22"/>
        </w:rPr>
        <w:t>Each utility shall issue a receipt of deposit to each customer from whom a deposit is received, and shall provide means whereby a depositor may establish claim if the receipt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 xml:space="preserve">A deposit shall be refunded after 12 consecutive months of prompt payment (which may be 11 timely payments and 1 automatic forgiveness of late payment). For refund purposes the account shall be reviewed for prompt payment after 12 months of service following the making of the deposit and for each 12-month interval terminating on the anniversary of the deposit. However, deposits received from customers subject to the exemption provided by </w:t>
      </w:r>
      <w:hyperlink r:id="rId37">
        <w:r>
          <w:rPr>
            <w:rStyle w:val="Hyperlink"/>
            <w:rFonts w:ascii="Times New Roman" w:hAnsi="Times New Roman"/>
            <w:b w:val="false"/>
            <w:i w:val="false"/>
            <w:color w:val="000000"/>
            <w:sz w:val="22"/>
          </w:rPr>
          <w:t>20.4(3)</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38">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39">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20.4(9)</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Each customer shall be informed as promptly as possible following the reading of the customer’s meter, on bill form or otherwise,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reading of the meter at the beginning and at the end of the period for which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meter was read, at the beginning and end of the billing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kind of units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applicable rate schedule, with the identification of the applicable rate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balance brought forward and amount of each net charge for rate-schedule-priced utility service, sales tax, other taxes, late payment charge, and total amount currently due. In the case of prepayment meters, the amount of money collected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 shall be clearly shown and shall be not less than 20 days after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 minimum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Customer billing information alternate. A utility serving less than 5000 electric customers may provide the information in </w:t>
      </w:r>
      <w:hyperlink r:id="rId40">
        <w:r>
          <w:rPr>
            <w:rStyle w:val="Hyperlink"/>
            <w:rFonts w:ascii="Times New Roman" w:hAnsi="Times New Roman"/>
            <w:b w:val="false"/>
            <w:i w:val="false"/>
            <w:color w:val="000000"/>
            <w:sz w:val="22"/>
          </w:rPr>
          <w:t>20.4(9)</w:t>
        </w:r>
      </w:hyperlink>
      <w:r>
        <w:rPr>
          <w:rFonts w:ascii="Times New Roman" w:hAnsi="Times New Roman"/>
          <w:b w:val="false"/>
          <w:i w:val="false"/>
          <w:color w:val="000000"/>
          <w:sz w:val="22"/>
        </w:rPr>
        <w:t xml:space="preserve"> on bill form or otherwise. If the utility elects not to provide the information of </w:t>
      </w:r>
      <w:hyperlink r:id="rId41">
        <w:r>
          <w:rPr>
            <w:rStyle w:val="Hyperlink"/>
            <w:rFonts w:ascii="Times New Roman" w:hAnsi="Times New Roman"/>
            <w:b w:val="false"/>
            <w:i w:val="false"/>
            <w:color w:val="000000"/>
            <w:sz w:val="22"/>
          </w:rPr>
          <w:t>20.4(9)</w:t>
        </w:r>
      </w:hyperlink>
      <w:r>
        <w:rPr>
          <w:rFonts w:ascii="Times New Roman" w:hAnsi="Times New Roman"/>
          <w:b w:val="false"/>
          <w:i w:val="false"/>
          <w:color w:val="000000"/>
          <w:sz w:val="22"/>
        </w:rPr>
        <w:t>, it shall advise the customer, on bill form or by bill insert, that such information can be obtained by contacting the utility’s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w:t>
      </w:r>
      <w:r>
        <w:rPr>
          <w:rFonts w:ascii="Times New Roman" w:hAnsi="Times New Roman"/>
          <w:b w:val="false"/>
          <w:i w:val="false"/>
          <w:color w:val="000000"/>
          <w:sz w:val="22"/>
        </w:rPr>
        <w:t> </w:t>
      </w:r>
      <w:r>
        <w:rPr>
          <w:rFonts w:ascii="Times New Roman" w:hAnsi="Times New Roman"/>
          <w:b w:val="false"/>
          <w:i w:val="false"/>
          <w:color w:val="000000"/>
          <w:sz w:val="22"/>
        </w:rPr>
        <w:t>Rescinded, effective 7/1/81.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20.4(11)</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6 even monthly payments. The utility shall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agreement shall also include a provision for payment of the current account.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document will be considered provided to the customer when addressed to the customer’s last-known address and deposited in the U.S. mail with postage paid. If delivery is by other than U.S. mail, the document shall be considered provided to the customer when delivered to the last-known address of the person responsible for payment for the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stated in the written document. The document stating the terms and conditions of the agreement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customer shall not be charged interest, or a late payment charge, on a payment agreement where the customer is making payments consistent with the terms of the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payment agreement. The utility shall offer a second payment agreement to a customer who is in default of a first payment agreement if the customer has made at least two consecutive full payments under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second payment agreement shall be for a term at least as long as the term of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customer shall be required to pay for current service in addition to the monthly payments under the second payment agreement and may be required to make the first payment up-front as a condition of entering into the second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may also require the customer to enter into a budget billing plan to pay the current bill.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to the customer,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handed to the customer or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A customer may ask the board for assistance in working out a reasonable payment agreement. The request for assistance must be made to the board within ten days after the written refusal is provided. During the review of this request, the utility shall not disconnect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20.4(12)</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 xml:space="preserve">The bill shall be considered provided to the customer when deposited in the U.S. mail with postage prepaid. If delivery is by other than U.S. mail, the bill shall be considered provided when delivered to the last-known address of the party responsible for payment. There shall not be less than 20 days between the providing of a bill and the date by which the account becomes delinquent. Bills for customers on more frequent billing intervals under subrule </w:t>
      </w:r>
      <w:hyperlink r:id="rId42">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 xml:space="preserve"> may not be considered delinquent less than 5 days from the date the bill is provided. However, a late payment charge may not be assessed if payment is received within 20 days of the date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delinquency for all residential customers or other customers whose consumption is less than 3,000 kWh per month shall be changeable for cause; such as, but not limited to, 15 days from approximate date each month upon which income is received by the person responsible for payment. In no case, however, shall the utility be required to delay the date of delinquency more than 30 days beyond the date of preparation of the previous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customer makes partial payment in a timely manner, and does not designate the service or product for which payment is made, the payment shall be credited pro rata between the bill for utility services and related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prohibits any effect upon the credit rating of the customer or collection of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Budget billing plan. Utilities shall offer a budget billing plan to all residential customers or other customers whose consumption is less than 3,000 kWh per month. A budget billing plan should be designed to limit the volatility of a customer’s bill and maintain reasonable account balances. The budget billing plan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offered to each eligible customer when the customer initially requests service. The plan may be estimated if there is insufficient usage history to create a budget billing plan based on actual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 for entry into the budget billing plan anytime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a customer may request termination of the plan at any time. If the customer’s account is in arrears at the time of termination, the balance shall be due and payable at the time of termination. If there is a credit balance, the customer shall be allowed the option of obtaining a refund or applying the credit to future charges. A utility is not required to offer a new budget billing plan to a customer for six months after the customer has terminated from a budget billing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 computation method that produces a reasonable monthly budget billing amount, which may take into account forward-looking factors such as fuel price and weather forecasts, and that complies with requirements of this subrule. The computation method used by the utility shall be described in the utility’s tariff and shall be subject to board approval. The utility shall give notice to customers when it changes the type of computation method in the budget billing plan.</w:t>
      </w:r>
    </w:p>
    <w:p>
      <w:pPr>
        <w:spacing w:before="0" w:after="0"/>
        <w:ind w:left="120"/>
        <w:jc w:val="both"/>
      </w:pPr>
      <w:r>
        <w:rPr>
          <w:rFonts w:ascii="Times New Roman" w:hAnsi="Times New Roman"/>
          <w:b w:val="false"/>
          <w:i w:val="false"/>
          <w:color w:val="000000"/>
          <w:sz w:val="22"/>
        </w:rPr>
        <w:t>The amount to be paid at each billing interval by a customer on a budget billing plan shall be computed at the time of entry into the plan and shall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ind w:left="120"/>
        <w:jc w:val="both"/>
      </w:pPr>
      <w:r>
        <w:rPr>
          <w:rFonts w:ascii="Times New Roman" w:hAnsi="Times New Roman"/>
          <w:b w:val="false"/>
          <w:i w:val="false"/>
          <w:color w:val="000000"/>
          <w:sz w:val="22"/>
        </w:rPr>
        <w:t>When the budget billing amount is recomputed, the budget billing plan account balance shall be divided by 12, and the resulting amount shall be added to the estimated monthly budget billing amount. Except when a utility has a budget billing plan that recomputes the budget billing amount monthly, the customer shall be given the option of applying any credit to payments of subsequent months’ budget billing amounts due or of obtaining a refund of any credit in excess of $25.</w:t>
      </w:r>
    </w:p>
    <w:p>
      <w:pPr>
        <w:spacing w:before="0" w:after="0"/>
        <w:ind w:left="120"/>
        <w:jc w:val="both"/>
      </w:pPr>
      <w:r>
        <w:rPr>
          <w:rFonts w:ascii="Times New Roman" w:hAnsi="Times New Roman"/>
          <w:b w:val="false"/>
          <w:i w:val="false"/>
          <w:color w:val="000000"/>
          <w:sz w:val="22"/>
        </w:rPr>
        <w:t>Except when a utility has a budget billing plan that recomputes the budget billing amount monthly, the customer shall be notified of the recomputed payment amount not less than one full billing period prior to the date of delinquency for the recomputed payment. The notice may accompany the bill prior to the bill that is affected by the recomputed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Irrespective of the account balance, a delinquency in payment shall be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20.4(13)</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records as may be necessary to effectuate compliance with </w:t>
      </w:r>
      <w:hyperlink r:id="rId43">
        <w:r>
          <w:rPr>
            <w:rStyle w:val="Hyperlink"/>
            <w:rFonts w:ascii="Times New Roman" w:hAnsi="Times New Roman"/>
            <w:b w:val="false"/>
            <w:i w:val="false"/>
            <w:color w:val="000000"/>
            <w:sz w:val="22"/>
          </w:rPr>
          <w:t>20.4(14)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but not less than five years. Records for customer shall show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kWh 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kWh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kW 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kW measured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kW billing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Total amount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20.4(14)</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 error. </w:t>
      </w:r>
      <w:r>
        <w:rPr>
          <w:rFonts w:ascii="Times New Roman" w:hAnsi="Times New Roman"/>
          <w:b w:val="false"/>
          <w:i w:val="false"/>
          <w:color w:val="000000"/>
          <w:sz w:val="22"/>
        </w:rPr>
        <w:t>Whenever a meter creeps or whenever a metering installation is found upon any test to have an average error of more than 2.0 percent for watthour metering; or a demand metering error of more than 1.5 percent in addition to the errors allowed under accuracy of demand metering; an adjustment of bills for service for the period of inaccuracy shall be made in the case of overregistration and may be made in the case of underregistration. The amount of the adjustment shall be calculated on the basis that the metering equipment should be 100 percent accurate with respect to the testing equipment used to make the test. For watthour metering installations the average accuracy shall be the arithmetic average of the percent registration at 10 percent of rated test current and at 100 percent of rated test current giving the 100 percent of rated test current registration a weight of four and the 10 percent of rated test current registration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adjustment. </w:t>
      </w:r>
      <w:r>
        <w:rPr>
          <w:rFonts w:ascii="Times New Roman" w:hAnsi="Times New Roman"/>
          <w:b w:val="false"/>
          <w:i w:val="false"/>
          <w:color w:val="000000"/>
          <w:sz w:val="22"/>
        </w:rPr>
        <w:t>Recalculation of bills shall be on the basis of actual monthly consumption except that if service has been measured by self-contained single-phase meters or three-wire network meters and involves no billing other than for kilowatt-hours, the recalculation of bills may be based on the average monthly consumption determined from the most recent 36 months, consumption data.</w:t>
      </w:r>
    </w:p>
    <w:p>
      <w:pPr>
        <w:spacing w:before="0" w:after="0"/>
        <w:ind w:left="120"/>
        <w:jc w:val="both"/>
      </w:pPr>
      <w:r>
        <w:rPr>
          <w:rFonts w:ascii="Times New Roman" w:hAnsi="Times New Roman"/>
          <w:b w:val="false"/>
          <w:i w:val="false"/>
          <w:color w:val="000000"/>
          <w:sz w:val="22"/>
        </w:rPr>
        <w:t>When the average error cannot be determined by test because of failure of part or all of the metering equipment, it shall be permissible to use the registration of check metering installations, if any, or to estimate the quantity of energy consumed based on available data. The customer must be advised of the failure and of the basis for the estimate of quantity billed. The periods of error shall be used as defined in immediately following subparagraphs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Overregistration. If the date when overregistration began can be determined, such date shall be the starting point for determination of the amount of the adjustment. If the date when overregistration began cannot be determined, it shall be assumed that the error has existed for the shortest time period calculated as one-half the time since the meter was installed, or one-half the time elapsed since the last meter test unless otherwise ordered by the board.</w:t>
      </w:r>
    </w:p>
    <w:p>
      <w:pPr>
        <w:spacing w:before="0" w:after="0"/>
        <w:ind w:left="120"/>
        <w:jc w:val="both"/>
      </w:pPr>
      <w:r>
        <w:rPr>
          <w:rFonts w:ascii="Times New Roman" w:hAnsi="Times New Roman"/>
          <w:b w:val="false"/>
          <w:i w:val="false"/>
          <w:color w:val="000000"/>
          <w:sz w:val="22"/>
        </w:rPr>
        <w:t>The overregistration due to creep shall be calculated by timing the rate of creeping and assuming that the creeping affected the registration of the meter for 25 percent of the time since the more recent of either metering installation or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Underregistration. If the date when underregistration began can be determined, it shall be the starting point for determination of the amount of the adjustment except that billing adjustment shall be limited to the preceding six months. If the date when underregistration began cannot be determined, it shall be assumed that the error has existed for one-half of the time elapsed since the more recent of either meter installation or the last meter test, except that billing adjustment shall be limited to the preceding six months unless otherwise ordered by the board.</w:t>
      </w:r>
    </w:p>
    <w:p>
      <w:pPr>
        <w:spacing w:before="0" w:after="0"/>
        <w:ind w:left="120"/>
        <w:jc w:val="both"/>
      </w:pPr>
      <w:r>
        <w:rPr>
          <w:rFonts w:ascii="Times New Roman" w:hAnsi="Times New Roman"/>
          <w:b w:val="false"/>
          <w:i w:val="false"/>
          <w:color w:val="000000"/>
          <w:sz w:val="22"/>
        </w:rPr>
        <w:t>The underregistration due to creep shall be calculated by timing the rate of creeping and assuming that this creeping affected the registration for 25 percent of the time since the more recent of either metering installation or last previous test, except that billing adjustment shall be limited to the preceding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If the recalculated bills indicate that $5 or more is due an existing customer or $10 or more is due a person no longer a customer of the utility, the tariff shall provide refunding of the full amount of the calculated difference between the amount paid and the recalculated amount. Refunds shall be made to the two most recent customers who received service through the metering installation found to be in error.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ind w:left="120"/>
        <w:jc w:val="both"/>
      </w:pPr>
      <w:r>
        <w:rPr>
          <w:rFonts w:ascii="Times New Roman" w:hAnsi="Times New Roman"/>
          <w:b w:val="false"/>
          <w:i w:val="false"/>
          <w:color w:val="000000"/>
          <w:sz w:val="22"/>
        </w:rPr>
        <w:t>Refunds shall be completed within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Back billing. </w:t>
      </w:r>
      <w:r>
        <w:rPr>
          <w:rFonts w:ascii="Times New Roman" w:hAnsi="Times New Roman"/>
          <w:b w:val="false"/>
          <w:i w:val="false"/>
          <w:color w:val="000000"/>
          <w:sz w:val="22"/>
        </w:rPr>
        <w:t>A utility may not back bill due to underregistration unless a minimum back bill amount is specified in its tariff. The minimum amount specified for back billing shall not be less than, but may be greater than, $5 for an existing customer or $10 for a former customer. All recalculations resulting in an amount due equal to or greater than the tariff specified minimum shall result in issuance of a back bill.</w:t>
      </w:r>
    </w:p>
    <w:p>
      <w:pPr>
        <w:spacing w:before="0" w:after="0"/>
        <w:ind w:left="120"/>
        <w:jc w:val="both"/>
      </w:pPr>
      <w:r>
        <w:rPr>
          <w:rFonts w:ascii="Times New Roman" w:hAnsi="Times New Roman"/>
          <w:b w:val="false"/>
          <w:i w:val="false"/>
          <w:color w:val="000000"/>
          <w:sz w:val="22"/>
        </w:rPr>
        <w:t>Back billings shall be provided no later than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shall not exceed five years unless otherwise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board. The maximum back bill shall not exceed the dollar amount equivalent to the tariffed rate for like charges (e.g., usage-based, fixed or service charges) in the 12 months preceding discovery of the error unless otherwise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Credits and explanations. </w:t>
      </w:r>
      <w:r>
        <w:rPr>
          <w:rFonts w:ascii="Times New Roman" w:hAnsi="Times New Roman"/>
          <w:b w:val="false"/>
          <w:i w:val="false"/>
          <w:color w:val="000000"/>
          <w:sz w:val="22"/>
        </w:rPr>
        <w:t>Credits due a customer because of meter inaccuracies, errors in billing, or misapplication of rates shall be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20.4(15)</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A utility shall refuse service or disconnect service to a customer, as defined in subrule </w:t>
      </w:r>
      <w:hyperlink r:id="rId45">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in accordance with tariffs that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give written notice of pending disconnection except as specified in paragraph </w:t>
      </w:r>
      <w:hyperlink r:id="rId46">
        <w:r>
          <w:rPr>
            <w:rStyle w:val="Hyperlink"/>
            <w:rFonts w:ascii="Times New Roman" w:hAnsi="Times New Roman"/>
            <w:b w:val="false"/>
            <w:i w:val="false"/>
            <w:color w:val="000000"/>
            <w:sz w:val="22"/>
          </w:rPr>
          <w:t>20.4(15)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notice shall set forth the reason for the notice and the final date by which the account is to be settled or specific action taken. The notice shall be considered provided to the customer when addressed to the customer’s last-known address and deposited in the U.S. mail with postage prepaid. If delivery is by other than U.S. mail, the notice shall be considered provided when delivered to the last-known address of the person responsible for payment for the service. The date for disconnection of service shall be not less than 12 days after the notice is provided. The date for disconnection of service for customers on shorter billing intervals under subrule </w:t>
      </w:r>
      <w:hyperlink r:id="rId47">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 xml:space="preserve"> shall not be less than 24 hours after the notice is posted at the service premises.</w:t>
      </w:r>
    </w:p>
    <w:p>
      <w:pPr>
        <w:spacing w:before="0" w:after="0"/>
        <w:ind w:left="120"/>
        <w:jc w:val="both"/>
      </w:pPr>
      <w:r>
        <w:rPr>
          <w:rFonts w:ascii="Times New Roman" w:hAnsi="Times New Roman"/>
          <w:b w:val="false"/>
          <w:i w:val="false"/>
          <w:color w:val="000000"/>
          <w:sz w:val="22"/>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of a condition on the customer’s premises determined by the utility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customer use of equipment in a manner which adversely affects the utility’s equipment or the utility’s service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of tampering with the equipment furnished and owned by the utility. For the purposes of this subrule, a broken or absent meter seal alone shall not constitute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or refused after proper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furnish the service equipment, permits, certificates, or rights-of-way which are specified to be furnished, in the utility’s rules filed with the board,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may be refused or disconnected after proper notice for nonpayment of a bill or deposit, except as restricted by subrules </w:t>
      </w:r>
      <w:hyperlink r:id="rId48">
        <w:r>
          <w:rPr>
            <w:rStyle w:val="Hyperlink"/>
            <w:rFonts w:ascii="Times New Roman" w:hAnsi="Times New Roman"/>
            <w:b w:val="false"/>
            <w:i w:val="false"/>
            <w:color w:val="000000"/>
            <w:sz w:val="22"/>
          </w:rPr>
          <w:t>20.4(16)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20.4(17)</w:t>
        </w:r>
      </w:hyperlink>
      <w:r>
        <w:rPr>
          <w:rFonts w:ascii="Times New Roman" w:hAnsi="Times New Roman"/>
          <w:b w:val="false"/>
          <w:i w:val="false"/>
          <w:color w:val="000000"/>
          <w:sz w:val="22"/>
        </w:rPr>
        <w:t>, provided that the utility has complied with the following provisions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50">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summary of the rights and responsibilities must be approved by the board. Any utility providing electric service and defined as a public utility in Iowa Code section </w:t>
      </w:r>
      <w:hyperlink r:id="rId51">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which does not use the standard form set forth below for customers billed monthly shall submit to the board electronically its proposed form for approval. A utility billing a combination customer for both gas and electric service may modify the standard form to replace each use of the word “electric” with the words “gas and electric” in all instances.</w:t>
      </w:r>
    </w:p>
    <w:p>
      <w:pPr>
        <w:spacing w:before="0" w:after="0"/>
        <w:ind w:left="120"/>
        <w:jc w:val="center"/>
      </w:pPr>
      <w:r>
        <w:rPr>
          <w:rFonts w:ascii="Times New Roman" w:hAnsi="Times New Roman"/>
          <w:b/>
          <w:i w:val="false"/>
          <w:color w:val="000000"/>
          <w:sz w:val="22"/>
        </w:rPr>
        <w:t>CUSTOMER RIGHTS AND RESPONSIBILITIES TO AVOID SHUTOFF OF ELECTRIC SERVICE FOR NONPAYMENT</w:t>
      </w:r>
    </w:p>
    <w:p>
      <w:pPr>
        <w:spacing w:before="0" w:after="0"/>
        <w:ind w:left="120"/>
        <w:jc w:val="both"/>
      </w:pPr>
      <w:r>
        <w:rPr>
          <w:rFonts w:ascii="Times New Roman" w:hAnsi="Times New Roman"/>
          <w:b/>
          <w:i w:val="false"/>
          <w:color w:val="000000"/>
          <w:sz w:val="22"/>
        </w:rPr>
        <w:t>1. What can I do if I receive a notice from the utility that says my service will be shut off because I have a past due bill?</w:t>
      </w:r>
    </w:p>
    <w:p>
      <w:pPr>
        <w:spacing w:before="0" w:after="0"/>
        <w:ind w:left="120"/>
        <w:jc w:val="both"/>
      </w:pPr>
      <w:r>
        <w:rPr>
          <w:rFonts w:ascii="Times New Roman" w:hAnsi="Times New Roman"/>
          <w:b w:val="false"/>
          <w:i w:val="false"/>
          <w:color w:val="000000"/>
          <w:sz w:val="22"/>
        </w:rPr>
        <w:t>a. Pay the bill in full; or</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Apply for and become eligible for low-income energy assistance (see #3 below); or</w:t>
      </w:r>
    </w:p>
    <w:p>
      <w:pPr>
        <w:spacing w:before="0" w:after="0"/>
        <w:ind w:left="120"/>
        <w:jc w:val="both"/>
      </w:pPr>
      <w:r>
        <w:rPr>
          <w:rFonts w:ascii="Times New Roman" w:hAnsi="Times New Roman"/>
          <w:b w:val="false"/>
          <w:i w:val="false"/>
          <w:color w:val="000000"/>
          <w:sz w:val="22"/>
        </w:rPr>
        <w:t>d. Give the utility a written statement from a doctor or public health official stating that shutting off your electric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a. Applications are taken at your local community action agency. If you are unsure where to apply, dial 2-1-1 or 1-800-244-7431, or visit </w:t>
      </w:r>
      <w:hyperlink r:id="rId52">
        <w:r>
          <w:rPr>
            <w:rStyle w:val="Hyperlink"/>
            <w:rFonts w:ascii="Times New Roman" w:hAnsi="Times New Roman"/>
            <w:b w:val="false"/>
            <w:i w:val="false"/>
            <w:color w:val="000000"/>
            <w:sz w:val="22"/>
            <w:u w:val="single"/>
          </w:rPr>
          <w:t>humanrights.iowa.gov/dcaa/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 xml:space="preserve"> c. Being certified eligible for energy assistance will prevent your service from being disconnected from November 1 through April 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5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Board for assistance in resolving the dispute. (See #9 below.)</w:t>
      </w:r>
    </w:p>
    <w:p>
      <w:pPr>
        <w:spacing w:before="0" w:after="0"/>
        <w:ind w:left="120"/>
        <w:jc w:val="both"/>
      </w:pPr>
      <w:r>
        <w:rPr>
          <w:rFonts w:ascii="Times New Roman" w:hAnsi="Times New Roman"/>
          <w:b/>
          <w:i w:val="false"/>
          <w:color w:val="000000"/>
          <w:sz w:val="22"/>
        </w:rPr>
        <w:t>6. When can the utility shut off my utility service because I have not paid my bill?</w:t>
      </w:r>
    </w:p>
    <w:p>
      <w:pPr>
        <w:spacing w:before="0" w:after="0"/>
        <w:ind w:left="120"/>
        <w:jc w:val="both"/>
      </w:pPr>
      <w:r>
        <w:rPr>
          <w:rFonts w:ascii="Times New Roman" w:hAnsi="Times New Roman"/>
          <w:b w:val="false"/>
          <w:i w:val="false"/>
          <w:color w:val="000000"/>
          <w:sz w:val="22"/>
        </w:rPr>
        <w:t>a. Your utility can shut off service between the hours of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2 p.m., Monday through Friday.</w:t>
      </w:r>
    </w:p>
    <w:p>
      <w:pPr>
        <w:spacing w:before="0" w:after="0"/>
        <w:ind w:left="120"/>
        <w:jc w:val="both"/>
      </w:pPr>
      <w:r>
        <w:rPr>
          <w:rFonts w:ascii="Times New Roman" w:hAnsi="Times New Roman"/>
          <w:b w:val="false"/>
          <w:i w:val="false"/>
          <w:color w:val="000000"/>
          <w:sz w:val="22"/>
        </w:rPr>
        <w:t>b. The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e. If you have qualified for low-income energy assistance, the utility cannot shut off your service from November 1 through April 1. However, you will still owe the utility for the service used during this time.</w:t>
      </w:r>
    </w:p>
    <w:p>
      <w:pPr>
        <w:spacing w:before="0" w:after="0"/>
        <w:ind w:left="120"/>
        <w:jc w:val="both"/>
      </w:pPr>
      <w:r>
        <w:rPr>
          <w:rFonts w:ascii="Times New Roman" w:hAnsi="Times New Roman"/>
          <w:b w:val="false"/>
          <w:i w:val="false"/>
          <w:color w:val="000000"/>
          <w:sz w:val="22"/>
        </w:rPr>
        <w:t>f. The utility will not shut off your service if you have notified the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ind w:left="120"/>
        <w:jc w:val="both"/>
      </w:pPr>
      <w:r>
        <w:rPr>
          <w:rFonts w:ascii="Times New Roman" w:hAnsi="Times New Roman"/>
          <w:b/>
          <w:i w:val="false"/>
          <w:color w:val="000000"/>
          <w:sz w:val="22"/>
        </w:rPr>
        <w:t>7. How will I be told the utility is going to shut off my service?</w:t>
      </w:r>
    </w:p>
    <w:p>
      <w:pPr>
        <w:spacing w:before="0" w:after="0"/>
        <w:ind w:left="120"/>
        <w:jc w:val="both"/>
      </w:pPr>
      <w:r>
        <w:rPr>
          <w:rFonts w:ascii="Times New Roman" w:hAnsi="Times New Roman"/>
          <w:b w:val="false"/>
          <w:i w:val="false"/>
          <w:color w:val="000000"/>
          <w:sz w:val="22"/>
        </w:rPr>
        <w:t>a. You must be given a written notice at least 12 days before the utility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utility must also try to reach you by telephone or in person before it shuts off your service. From November 1 through April 1, if the utility cannot reach you by telephone or in person, the utility will put a written notice on the door of or another conspicuous place at your residence to tell you that your utility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if you pay the whole amount you owe or agree to a reasonable payment plan (see #2 above).</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regular business hours, the utility must make a reasonable effort to turn your service back on that day. If service cannot reasonably be turned on that same day, the utility must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Board toll-free at 1-877-565-4450. You may also write the Iowa Utilities Board at 1375 E. Court Avenue, Des Moines, Iowa 50319-0069, or by E-mail at </w:t>
      </w:r>
      <w:hyperlink r:id="rId53">
        <w:r>
          <w:rPr>
            <w:rStyle w:val="Hyperlink"/>
            <w:rFonts w:ascii="Times New Roman" w:hAnsi="Times New Roman"/>
            <w:b w:val="false"/>
            <w:i w:val="false"/>
            <w:color w:val="000000"/>
            <w:sz w:val="22"/>
            <w:u w:val="single"/>
          </w:rPr>
          <w:t>customer@iub.iowa.gov</w:t>
        </w:r>
      </w:hyperlink>
      <w:r>
        <w:rPr>
          <w:rFonts w:ascii="Times New Roman" w:hAnsi="Times New Roman"/>
          <w:b w:val="false"/>
          <w:i w:val="false"/>
          <w:color w:val="000000"/>
          <w:sz w:val="22"/>
        </w:rPr>
        <w:t>. Low-income customers may also be eligible for free legal assistance from Iowa Legal Aid, and may contact Legal Aid at 1-800-532-1275.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has adopted a service limitation policy pursuant to subrule </w:t>
      </w:r>
      <w:hyperlink r:id="rId54">
        <w:r>
          <w:rPr>
            <w:rStyle w:val="Hyperlink"/>
            <w:rFonts w:ascii="Times New Roman" w:hAnsi="Times New Roman"/>
            <w:b w:val="false"/>
            <w:i w:val="false"/>
            <w:color w:val="000000"/>
            <w:sz w:val="22"/>
          </w:rPr>
          <w:t>20.4(23)</w:t>
        </w:r>
      </w:hyperlink>
      <w:r>
        <w:rPr>
          <w:rFonts w:ascii="Times New Roman" w:hAnsi="Times New Roman"/>
          <w:b w:val="false"/>
          <w:i w:val="false"/>
          <w:color w:val="000000"/>
          <w:sz w:val="22"/>
        </w:rPr>
        <w:t xml:space="preserve">, the following paragraph shall be appended to the end of the standard form for the summary of rights and responsibilities, as set forth in subparagraph </w:t>
      </w:r>
      <w:hyperlink r:id="rId55">
        <w:r>
          <w:rPr>
            <w:rStyle w:val="Hyperlink"/>
            <w:rFonts w:ascii="Times New Roman" w:hAnsi="Times New Roman"/>
            <w:b w:val="false"/>
            <w:i w:val="false"/>
            <w:color w:val="000000"/>
            <w:sz w:val="22"/>
          </w:rPr>
          <w:t>20.4(15)</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Service limitation:</w:t>
      </w:r>
      <w:r>
        <w:rPr>
          <w:rFonts w:ascii="Times New Roman" w:hAnsi="Times New Roman"/>
          <w:b w:val="false"/>
          <w:i w:val="false"/>
          <w:color w:val="000000"/>
          <w:sz w:val="22"/>
        </w:rPr>
        <w:t xml:space="preserve"> We have adopted a limitation of service policy for customers who otherwise could be disconnected. Contact our business office for more information or to learn if you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disconnecting service to a residence, made a diligent attempt to contact, by telephone or in person, the customer responsible for payment for service to the residence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ind w:left="120"/>
        <w:jc w:val="both"/>
      </w:pPr>
      <w:r>
        <w:rPr>
          <w:rFonts w:ascii="Times New Roman" w:hAnsi="Times New Roman"/>
          <w:b w:val="false"/>
          <w:i w:val="false"/>
          <w:color w:val="000000"/>
          <w:sz w:val="22"/>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The utility shall make a diligent attempt to inform the landlord at least 48 hours prior to disconnection of service to a tenant.</w:t>
      </w:r>
    </w:p>
    <w:p>
      <w:pPr>
        <w:spacing w:before="0" w:after="0"/>
        <w:ind w:left="120"/>
        <w:jc w:val="both"/>
      </w:pPr>
      <w:r>
        <w:rPr>
          <w:rFonts w:ascii="Times New Roman" w:hAnsi="Times New Roman"/>
          <w:b w:val="false"/>
          <w:i w:val="false"/>
          <w:color w:val="000000"/>
          <w:sz w:val="22"/>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Disputed bill. If the customer has received notice of disconnection and has a dispute concerning a bill for electric utility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shall be extended by up to 60 days if requested of the utility by the board in the event the customer files a written complaint with the board in compliance with </w:t>
      </w:r>
      <w:hyperlink r:id="rId5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Reconnection. Disconnection of a residential customer may take place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a weekday and not on weekends or holidays. If a disconnected customer makes payment or other arrangements during normal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cold weather. A disconnection may not take place where electricity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Health of a resident.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which indicate a severe or hazardous health situation.</w:t>
      </w:r>
    </w:p>
    <w:p>
      <w:pPr>
        <w:spacing w:before="0" w:after="0"/>
        <w:ind w:left="120"/>
        <w:jc w:val="both"/>
      </w:pPr>
      <w:r>
        <w:rPr>
          <w:rFonts w:ascii="Times New Roman" w:hAnsi="Times New Roman"/>
          <w:b w:val="false"/>
          <w:i w:val="false"/>
          <w:color w:val="000000"/>
          <w:sz w:val="22"/>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57">
        <w:r>
          <w:rPr>
            <w:rStyle w:val="Hyperlink"/>
            <w:rFonts w:ascii="Times New Roman" w:hAnsi="Times New Roman"/>
            <w:b w:val="false"/>
            <w:i w:val="false"/>
            <w:color w:val="000000"/>
            <w:sz w:val="22"/>
          </w:rPr>
          <w:t>20.4(15)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Winter energy assistance (November 1 through April 1). If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public utility by the community action agency as eligible for either the low-income home energy assistance program or weatherization assistance program. A utility may develop an incentive program to delay disconnection on April 1 for customers who make payments throughout the November 1 through April 1 period. All such incentive programs shall be set forth in tariffs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Deployment. If the utility is informed that one of the heads of household as defined in Iowa Code section </w:t>
      </w:r>
      <w:hyperlink r:id="rId58">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9">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Abnormal electric consumption. A customer who is subject to disconnection for nonpayment of bill, and who has electric consumption which appears to the customer to be abnormally high, may request the utility to provide assistance in identifying the factors contributing to this usage pattern and to suggest remedial measures. The utility shall provide assistance by discussing patterns of electric usage which may be readily identifiable, suggesting that an energy audit be conducted, and identifying sources of energy conservation information and financial assistance which may be available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utility may disconnect electric service after 24-hour notice (and without the written 12-day notice) for failure of the customer to comply with the terms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 shall, prior to November 1, mail customers a notice describing the availability of winter energy assistance funds and the application process. The notice must be of a type size that is easily legible and conspicuous and must contain the information set out by the state agency administering the assistance program. A utility serving fewer than 25,000 customers may publish the notice in a customer newsletter in lieu of mailing. A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20.4(16)</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for merchandise purchased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public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the back bill provided in accordance with paragraph </w:t>
      </w:r>
      <w:hyperlink r:id="rId60">
        <w:r>
          <w:rPr>
            <w:rStyle w:val="Hyperlink"/>
            <w:rFonts w:ascii="Times New Roman" w:hAnsi="Times New Roman"/>
            <w:b w:val="false"/>
            <w:i w:val="false"/>
            <w:color w:val="000000"/>
            <w:sz w:val="22"/>
          </w:rPr>
          <w:t>20.4(14)</w:t>
        </w:r>
        <w:r>
          <w:rPr>
            <w:rFonts w:ascii="Times New Roman" w:hAnsi="Times New Roman"/>
            <w:b w:val="false"/>
            <w:i/>
            <w:color w:val="000000"/>
            <w:sz w:val="22"/>
          </w:rPr>
          <w:t>“d”</w:t>
        </w:r>
      </w:hyperlink>
      <w:r>
        <w:rPr>
          <w:rFonts w:ascii="Times New Roman" w:hAnsi="Times New Roman"/>
          <w:b w:val="false"/>
          <w:i w:val="false"/>
          <w:color w:val="000000"/>
          <w:sz w:val="22"/>
        </w:rPr>
        <w:t xml:space="preserve"> (slow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a bill provided in accordance with paragraph </w:t>
      </w:r>
      <w:hyperlink r:id="rId61">
        <w:r>
          <w:rPr>
            <w:rStyle w:val="Hyperlink"/>
            <w:rFonts w:ascii="Times New Roman" w:hAnsi="Times New Roman"/>
            <w:b w:val="false"/>
            <w:i w:val="false"/>
            <w:color w:val="000000"/>
            <w:sz w:val="22"/>
          </w:rPr>
          <w:t>20.4(14)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of a residential customer to pay a deposit during the period November 1 through April 1 for the location at which the customer has been receiving service in the customer’s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an occupant if the customer applying for service is creditworthy and able to satisfy any deposit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last date of service for the account giving rise to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disconnection of service for the account giving rise to the delinquency,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voluntary payment or voluntary written promise of payment made by the customer, if made before the ten-year period described in this paragraph has otherwise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that arose on or before September 4, 2010, pursuant to an oral contract, except in cases of fraud or deception that prevented the utility from timely addressing such delinquencies with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20.4(17)</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disconnection may take place from November 1 through April 1 for a resident who has been certified to the public utility by the local community action agency as being eligible for either the low-income home energy assistance program or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informed that one of the heads of household as defined in Iowa Code section </w:t>
      </w:r>
      <w:hyperlink r:id="rId62">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63">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20.4(18)</w:t>
      </w:r>
      <w:r>
        <w:rPr>
          <w:rFonts w:ascii="Times New Roman" w:hAnsi="Times New Roman"/>
          <w:b w:val="false"/>
          <w:i w:val="false"/>
          <w:color w:val="000000"/>
          <w:sz w:val="22"/>
        </w:rPr>
        <w:t> </w:t>
      </w:r>
      <w:r>
        <w:rPr>
          <w:rFonts w:ascii="Times New Roman" w:hAnsi="Times New Roman"/>
          <w:b w:val="false"/>
          <w:i/>
          <w:color w:val="000000"/>
          <w:sz w:val="22"/>
        </w:rPr>
        <w:t xml:space="preserve">Estimated demand. </w:t>
      </w:r>
      <w:r>
        <w:rPr>
          <w:rFonts w:ascii="Times New Roman" w:hAnsi="Times New Roman"/>
          <w:b w:val="false"/>
          <w:i w:val="false"/>
          <w:color w:val="000000"/>
          <w:sz w:val="22"/>
        </w:rPr>
        <w:t>Upon request of the customer and provided the customer’s demand is estimated for billing purposes, the utility shall measure the demand during the customer’s normal operation and use the measured demand for billing.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20.4(19)</w:t>
      </w:r>
      <w:r>
        <w:rPr>
          <w:rFonts w:ascii="Times New Roman" w:hAnsi="Times New Roman"/>
          <w:b w:val="false"/>
          <w:i w:val="false"/>
          <w:color w:val="000000"/>
          <w:sz w:val="22"/>
        </w:rPr>
        <w:t> </w:t>
      </w:r>
      <w:r>
        <w:rPr>
          <w:rFonts w:ascii="Times New Roman" w:hAnsi="Times New Roman"/>
          <w:b w:val="false"/>
          <w:i/>
          <w:color w:val="000000"/>
          <w:sz w:val="22"/>
        </w:rPr>
        <w:t xml:space="preserve">Servicing utilization control equipment. </w:t>
      </w:r>
      <w:r>
        <w:rPr>
          <w:rFonts w:ascii="Times New Roman" w:hAnsi="Times New Roman"/>
          <w:b w:val="false"/>
          <w:i w:val="false"/>
          <w:color w:val="000000"/>
          <w:sz w:val="22"/>
        </w:rPr>
        <w:t>Each utility shall service and maintain any equipment it uses on customer’s premises and shall correctly set and keep in proper adjustment any thermostats, clocks, relays, time switches or other devices which control the customer’s service in accordance with the provisions in the utility’s rate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20.4(20)</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Complaints concerning the charges, practices, facilities or service of the utility shall be investigated promptly and thoroughly. The utility shall keep such records of customer complaints as will enable it to review and analyze its procedures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provide in its filed tariff a concise, fully informative procedure for the resolution of customer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take reasonable steps to ensure that customers unable to travel shall not be denied the right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step in a complaint hearing and review procedure shall be a filing for board resolution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12/5/18</w:t>
      </w:r>
      <w:r>
        <w:rPr>
          <w:rFonts w:ascii="Times New Roman" w:hAnsi="Times New Roman"/>
          <w:b w:val="false"/>
          <w:i w:val="false"/>
          <w:color w:val="000000"/>
          <w:sz w:val="22"/>
        </w:rPr>
        <w:t>, effective 1/9/19.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w:t>
      </w:r>
      <w:r>
        <w:rPr>
          <w:rFonts w:ascii="Times New Roman" w:hAnsi="Times New Roman"/>
          <w:b w:val="false"/>
          <w:i w:val="false"/>
          <w:color w:val="000000"/>
          <w:sz w:val="22"/>
        </w:rPr>
        <w:t> </w:t>
      </w:r>
      <w:r>
        <w:rPr>
          <w:rFonts w:ascii="Times New Roman" w:hAnsi="Times New Roman"/>
          <w:b w:val="false"/>
          <w:i/>
          <w:color w:val="000000"/>
          <w:sz w:val="22"/>
        </w:rPr>
        <w:t xml:space="preserve">Change in type of service. </w:t>
      </w:r>
      <w:r>
        <w:rPr>
          <w:rFonts w:ascii="Times New Roman" w:hAnsi="Times New Roman"/>
          <w:b w:val="false"/>
          <w:i w:val="false"/>
          <w:color w:val="000000"/>
          <w:sz w:val="22"/>
        </w:rPr>
        <w:t>If a change in the type of service or a change in voltage to a customer’s substation is effected at the insistence of the utility and not solely by reason of increase in the customer’s load or change in the character thereof, the utility shall share equitably in the cost of changing the equipment of the customer affected as determined by the board in the absence of agreement between utility and customer. In general, the customer should be protected against or reimbursed for the following losses and expenses to an appropriate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value in electrical power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of changes in wiring,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of removing old and installing new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w:t>
      </w:r>
      <w:r>
        <w:rPr>
          <w:rFonts w:ascii="Times New Roman" w:hAnsi="Times New Roman"/>
          <w:b w:val="false"/>
          <w:i w:val="false"/>
          <w:color w:val="000000"/>
          <w:sz w:val="22"/>
        </w:rPr>
        <w:t> </w:t>
      </w:r>
      <w:r>
        <w:rPr>
          <w:rFonts w:ascii="Times New Roman" w:hAnsi="Times New Roman"/>
          <w:b w:val="false"/>
          <w:i/>
          <w:color w:val="000000"/>
          <w:sz w:val="22"/>
        </w:rPr>
        <w:t xml:space="preserve">Limitation of service. </w:t>
      </w:r>
      <w:r>
        <w:rPr>
          <w:rFonts w:ascii="Times New Roman" w:hAnsi="Times New Roman"/>
          <w:b w:val="false"/>
          <w:i w:val="false"/>
          <w:color w:val="000000"/>
          <w:sz w:val="22"/>
        </w:rPr>
        <w:t>The utility shall have the option of adopting a policy for service limitation at a customer’s residence as a measure to be taken in lieu of disconnection of service to the customer. The service limiter policy shall be set out in the utility’s tariff and shall contain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limitation device shall not be activated without the customer’s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limitation device shall not be activated unless the customer has defaulted on all payment agreements for which the customer qualifies under the board’s rules and the customer has agreed to a subsequent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limiter shall provide for usage of a minimum of 3,600 watts. If the service limiter policy provides for different usage levels for different customers, the tariff shall set out specific nondiscriminatory criteria for determining the usage levels. Electric-heating residential customers may have their service limited if otherwise eligible, but such customers shall have consumption limits set at a level that allows them to continue to heat their residences. For purposes of this rule, “electric heating” shall mean heating by means of a fixed-installation electric appliance that serves as the primary source of heat and not, for example, one or more space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provision that, if the minimum usage limit is exceeded such that the limiter function interrupts service, the service limiter function must be capable of being reset manually by the customer, or the service limiter function must reset itself automatically within 15 minutes after the interruption. In addition, the service limiter function may also be capable of being reset remotely by the utility. If the utility chooses to use the option of resetting the meter remotely, the utility shall provide a 24-hour toll-free number for the customer to notify the utility that the limiter needs to be reset and the meter shall be reset immediately following notification by the customer. If the remote reset option is used, the meter must still be capable of being reset manually by the customer or the service limiter function must reset itself automatically within 15 minutes after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no disconnect, reconnect, or other charges associated with service limiter interruptions or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 that, upon installation of a service limiter or activation of a service limiter function on the meter, the utility shall provide the customer with information on the operation of the limiter, including how it can be reset, and information on what appliances or combination of appliances can generally be operated to stay within the limits imposed by the limiter.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 that the service limiter function of the meter shall be disabled no later than the next working day after the residential customer has paid the delinquent balance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limiter customer that defaults on the payment agreement is subject to disconnection after a 24-hour notice pursuant to paragraph </w:t>
      </w:r>
      <w:hyperlink r:id="rId64">
        <w:r>
          <w:rPr>
            <w:rStyle w:val="Hyperlink"/>
            <w:rFonts w:ascii="Times New Roman" w:hAnsi="Times New Roman"/>
            <w:b w:val="false"/>
            <w:i w:val="false"/>
            <w:color w:val="000000"/>
            <w:sz w:val="22"/>
          </w:rPr>
          <w:t>20.4(15)</w:t>
        </w:r>
        <w:r>
          <w:rPr>
            <w:rFonts w:ascii="Times New Roman" w:hAnsi="Times New Roman"/>
            <w:b w:val="false"/>
            <w:i/>
            <w:color w:val="000000"/>
            <w:sz w:val="22"/>
          </w:rPr>
          <w:t>“f.”</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9101B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199—20.5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electric plant of the utility shall be constructed, installed, maintained and operated in accordance with accepted good engineering practice in the electric industry to assure,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r>
        <w:rPr>
          <w:rFonts w:ascii="Times New Roman" w:hAnsi="Times New Roman"/>
          <w:b w:val="false"/>
          <w:i w:val="false"/>
          <w:color w:val="000000"/>
          <w:sz w:val="22"/>
        </w:rPr>
        <w:t>The utility shall use the applicable provisions in the publications listed below as standards of accepted good practice unless otherwise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69">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Requirements for Instrument Transformers, ANSI/IEEE C57.13.1-2006; and C57.13.3-2005.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Electric Power Systems and Equipment Voltage Ratings (60 Hertz), ANSI C84.1-2011.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Grounding of Industrial and Commercial Power Systems, IEEE 142-2007.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IEEE Standard 1159-2009, IEEE Recommended Practice for Monitoring Electric Power Quality or any successor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IEEE Standard 519-2014, IEEE Recommended Practices and Requirements for Harmonic Control in Electrical Power Systems or its successor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w:t>
      </w:r>
      <w:hyperlink r:id="rId70">
        <w:r>
          <w:rPr>
            <w:rStyle w:val="Hyperlink"/>
            <w:rFonts w:ascii="Times New Roman" w:hAnsi="Times New Roman"/>
            <w:b w:val="false"/>
            <w:i w:val="false"/>
            <w:color w:val="000000"/>
            <w:sz w:val="22"/>
          </w:rPr>
          <w:t>199—42.6</w:t>
        </w:r>
      </w:hyperlink>
      <w:r>
        <w:rPr>
          <w:rFonts w:ascii="Times New Roman" w:hAnsi="Times New Roman"/>
          <w:b w:val="false"/>
          <w:i w:val="false"/>
          <w:color w:val="000000"/>
          <w:sz w:val="22"/>
        </w:rPr>
        <w:t>(476),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Adequacy of supply and reliability of service. </w:t>
      </w:r>
      <w:r>
        <w:rPr>
          <w:rFonts w:ascii="Times New Roman" w:hAnsi="Times New Roman"/>
          <w:b w:val="false"/>
          <w:i w:val="false"/>
          <w:color w:val="000000"/>
          <w:sz w:val="22"/>
        </w:rPr>
        <w:t>The generating capacity of the utility’s plant, supplemented by the electric power regularly available from other sources, must be sufficiently large to meet all normal demands for service and provide a reasonable reserve for emergencies.</w:t>
      </w:r>
    </w:p>
    <w:p>
      <w:pPr>
        <w:spacing w:before="0" w:after="0"/>
        <w:ind w:left="120"/>
        <w:jc w:val="both"/>
      </w:pPr>
      <w:r>
        <w:rPr>
          <w:rFonts w:ascii="Times New Roman" w:hAnsi="Times New Roman"/>
          <w:b w:val="false"/>
          <w:i w:val="false"/>
          <w:color w:val="000000"/>
          <w:sz w:val="22"/>
        </w:rPr>
        <w:t>In appraising adequacy of supply the board will segregate electric utilities into two classes viz., those having high capacity transmission interconnections with other electrical utilities and those which lack such interconnection and are therefore completely dependent upon the firm generating capacity of the utility’s own generating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utilities having interconnecting ties with other utilities, the board will, upon appraising adequacy of supply, take appropriate notice of the utility’s recent past record, as of the date of appraisal, of any widespread service interruptions and any capacity shortages along with the consideration of the supply regularly available from other sources, the normal demands, and the required reserve for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noninterconnected utilities the board will give attention to the maximum total coincident customer demand which could be satisfied without the use of the single element of plant equipment, the disability of which would produce the greatest reduction in total net plant productive capacity and also give attention to the normal demands for service and to the reasonable reserve for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Electric transmission and distribution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11/13/02</w:t>
      </w:r>
      <w:r>
        <w:rPr>
          <w:rFonts w:ascii="Times New Roman" w:hAnsi="Times New Roman"/>
          <w:b w:val="false"/>
          <w:i w:val="false"/>
          <w:color w:val="000000"/>
          <w:sz w:val="22"/>
        </w:rPr>
        <w:t>, effective 12/18/02.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w:t>
      </w:r>
      <w:r>
        <w:rPr>
          <w:rFonts w:ascii="Times New Roman" w:hAnsi="Times New Roman"/>
          <w:b w:val="false"/>
          <w:i w:val="false"/>
          <w:color w:val="000000"/>
          <w:sz w:val="22"/>
        </w:rPr>
        <w:t> </w:t>
      </w:r>
      <w:r>
        <w:rPr>
          <w:rFonts w:ascii="Times New Roman" w:hAnsi="Times New Roman"/>
          <w:b w:val="false"/>
          <w:i/>
          <w:color w:val="000000"/>
          <w:sz w:val="22"/>
        </w:rPr>
        <w:t xml:space="preserve">Inspection of electric plant.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12/5/18</w:t>
      </w:r>
      <w:r>
        <w:rPr>
          <w:rFonts w:ascii="Times New Roman" w:hAnsi="Times New Roman"/>
          <w:b w:val="false"/>
          <w:i w:val="false"/>
          <w:color w:val="000000"/>
          <w:sz w:val="22"/>
        </w:rPr>
        <w:t>, effective 1/9/19.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478.18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program. </w:t>
      </w:r>
      <w:r>
        <w:rPr>
          <w:rFonts w:ascii="Times New Roman" w:hAnsi="Times New Roman"/>
          <w:b w:val="false"/>
          <w:i w:val="false"/>
          <w:color w:val="000000"/>
          <w:sz w:val="22"/>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publications listed in </w:t>
      </w:r>
      <w:hyperlink r:id="rId73">
        <w:r>
          <w:rPr>
            <w:rStyle w:val="Hyperlink"/>
            <w:rFonts w:ascii="Times New Roman" w:hAnsi="Times New Roman"/>
            <w:b w:val="false"/>
            <w:i w:val="false"/>
            <w:color w:val="000000"/>
            <w:sz w:val="22"/>
          </w:rPr>
          <w:t>20.6(3)</w:t>
        </w:r>
      </w:hyperlink>
      <w:r>
        <w:rPr>
          <w:rFonts w:ascii="Times New Roman" w:hAnsi="Times New Roman"/>
          <w:b w:val="false"/>
          <w:i w:val="false"/>
          <w:color w:val="000000"/>
          <w:sz w:val="22"/>
        </w:rPr>
        <w:t xml:space="preserve"> are representative of accepted good practice. Each utility shall maintain inspecting and testing records for each meter and associated device until three years after its retirement.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Program content. </w:t>
      </w:r>
      <w:r>
        <w:rPr>
          <w:rFonts w:ascii="Times New Roman" w:hAnsi="Times New Roman"/>
          <w:b w:val="false"/>
          <w:i w:val="false"/>
          <w:color w:val="000000"/>
          <w:sz w:val="22"/>
        </w:rPr>
        <w:t>The written program shall, at minimum, address the following subject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Classification of meters by capacity, type, and any other factor considered pertinent.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Checking of new meters for acceptable accuracy before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of in-service meters, including any associated instruments or corrective devices, for accuracy, adjustments or repairs. This may be accomplished by periodic tests at specified intervals or on the basis of a statistical sampling plan, but shall include meters removed from service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Periodic calibration or testing of devices or instruments used by the utility to test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limits of meter accuracy considered acceptable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nature of meter and meter test records which will be maintained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Accepted good practice. </w:t>
      </w:r>
      <w:r>
        <w:rPr>
          <w:rFonts w:ascii="Times New Roman" w:hAnsi="Times New Roman"/>
          <w:b w:val="false"/>
          <w:i w:val="false"/>
          <w:color w:val="000000"/>
          <w:sz w:val="22"/>
        </w:rPr>
        <w:t>The following publications are considered to be representative of accepted good practice in matters of metering and meter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Code for Electricity Metering, ANSI C12.1-2014.</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5/23/07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color w:val="000000"/>
          <w:sz w:val="22"/>
        </w:rPr>
        <w:t xml:space="preserve">Meter adjustment. </w:t>
      </w:r>
      <w:r>
        <w:rPr>
          <w:rFonts w:ascii="Times New Roman" w:hAnsi="Times New Roman"/>
          <w:b w:val="false"/>
          <w:i w:val="false"/>
          <w:color w:val="000000"/>
          <w:sz w:val="22"/>
        </w:rPr>
        <w:t>All meters and associated metering devices shall, when tested, be adjusted as closely as practicable to the condition of zero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Upon request by a customer, a utility shall test the meter servicing that customer. A test need not be made more frequently than once in 18 months.</w:t>
      </w:r>
    </w:p>
    <w:p>
      <w:pPr>
        <w:spacing w:before="0" w:after="0"/>
        <w:ind w:left="120"/>
        <w:jc w:val="both"/>
      </w:pPr>
      <w:r>
        <w:rPr>
          <w:rFonts w:ascii="Times New Roman" w:hAnsi="Times New Roman"/>
          <w:b w:val="false"/>
          <w:i w:val="false"/>
          <w:color w:val="000000"/>
          <w:sz w:val="22"/>
        </w:rPr>
        <w:t>A written report of the test results shall be mailed to the customer within ten days of the completed test and a record of each test shall be kept on file at the utility’s office. The utility shall give the customer or a representative of the customer the opportunity to be present while the test is conducted.</w:t>
      </w:r>
    </w:p>
    <w:p>
      <w:pPr>
        <w:spacing w:before="0" w:after="0"/>
        <w:ind w:left="120"/>
        <w:jc w:val="both"/>
      </w:pPr>
      <w:r>
        <w:rPr>
          <w:rFonts w:ascii="Times New Roman" w:hAnsi="Times New Roman"/>
          <w:b w:val="false"/>
          <w:i w:val="false"/>
          <w:color w:val="000000"/>
          <w:sz w:val="22"/>
        </w:rPr>
        <w:t>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20.6(6)</w:t>
      </w:r>
      <w:r>
        <w:rPr>
          <w:rFonts w:ascii="Times New Roman" w:hAnsi="Times New Roman"/>
          <w:b w:val="false"/>
          <w:i w:val="false"/>
          <w:color w:val="000000"/>
          <w:sz w:val="22"/>
        </w:rPr>
        <w:t> </w:t>
      </w:r>
      <w:r>
        <w:rPr>
          <w:rFonts w:ascii="Times New Roman" w:hAnsi="Times New Roman"/>
          <w:b w:val="false"/>
          <w:i/>
          <w:color w:val="000000"/>
          <w:sz w:val="22"/>
        </w:rPr>
        <w:t xml:space="preserve">Referee tests. </w:t>
      </w:r>
      <w:r>
        <w:rPr>
          <w:rFonts w:ascii="Times New Roman" w:hAnsi="Times New Roman"/>
          <w:b w:val="false"/>
          <w:i w:val="false"/>
          <w:color w:val="000000"/>
          <w:sz w:val="22"/>
        </w:rPr>
        <w:t>Upon written request by a customer or utility, the board will conduct a referee test of a meter. A test need not be made more frequently than once in 18 months. The customer request shall be accompanied by a $30 deposit in the form of a check or money order made payable to the utility.</w:t>
      </w:r>
    </w:p>
    <w:p>
      <w:pPr>
        <w:spacing w:before="0" w:after="0"/>
        <w:ind w:left="120"/>
        <w:jc w:val="both"/>
      </w:pPr>
      <w:r>
        <w:rPr>
          <w:rFonts w:ascii="Times New Roman" w:hAnsi="Times New Roman"/>
          <w:b w:val="false"/>
          <w:i w:val="false"/>
          <w:color w:val="000000"/>
          <w:sz w:val="22"/>
        </w:rPr>
        <w:t xml:space="preserve">Within five days of receipt of the written request and payment, the board shall forward the deposit to the utility and notify the utility of the requirement for a test. The utility shall, within 30 days after notification of the request, schedule the date, time and place of the test with the board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shall be made as required in </w:t>
      </w:r>
      <w:hyperlink r:id="rId74">
        <w:r>
          <w:rPr>
            <w:rStyle w:val="Hyperlink"/>
            <w:rFonts w:ascii="Times New Roman" w:hAnsi="Times New Roman"/>
            <w:b w:val="false"/>
            <w:i w:val="false"/>
            <w:color w:val="000000"/>
            <w:sz w:val="22"/>
          </w:rPr>
          <w:t>20.4(14)</w:t>
        </w:r>
      </w:hyperlink>
      <w:r>
        <w:rPr>
          <w:rFonts w:ascii="Times New Roman" w:hAnsi="Times New Roman"/>
          <w:b w:val="false"/>
          <w:i w:val="false"/>
          <w:color w:val="000000"/>
          <w:sz w:val="22"/>
        </w:rPr>
        <w:t>. The board shall issue its report within 15 days after the test is conducted, with a copy to the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20.6(7)</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No meter that is known to be mechanically or electrically defective, or to have incorrect constants, or that has not been tested and adjusted if necessary in accordance with these rules shall be installed or continued in service. The capacity of the meter and the index mechanism shall be consistent with the electricity requirements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20.6(8)</w:t>
      </w:r>
      <w:r>
        <w:rPr>
          <w:rFonts w:ascii="Times New Roman" w:hAnsi="Times New Roman"/>
          <w:b w:val="false"/>
          <w:i w:val="false"/>
          <w:color w:val="000000"/>
          <w:sz w:val="22"/>
        </w:rPr>
        <w:t> </w:t>
      </w:r>
      <w:r>
        <w:rPr>
          <w:rFonts w:ascii="Times New Roman" w:hAnsi="Times New Roman"/>
          <w:b w:val="false"/>
          <w:i/>
          <w:color w:val="000000"/>
          <w:sz w:val="22"/>
        </w:rPr>
        <w:t xml:space="preserve">Comprehensive meter upgrade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forgo the meter testing procedures required under the utility’s own inspection and testing program and </w:t>
      </w:r>
      <w:hyperlink r:id="rId75">
        <w:r>
          <w:rPr>
            <w:rStyle w:val="Hyperlink"/>
            <w:rFonts w:ascii="Times New Roman" w:hAnsi="Times New Roman"/>
            <w:b w:val="false"/>
            <w:i w:val="false"/>
            <w:color w:val="000000"/>
            <w:sz w:val="22"/>
          </w:rPr>
          <w:t>subrule 20.6(2)</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meters are removed or scheduled to be removed as part of a comprehensive meter upgrade program over a specified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meters being removed have not previously been shown to be inaccurate or otherwise faulty;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either retains the removed meters for a period of one year from the removal date to allow customers the opportunity to challenge a meter’s accuracy or tests a representative statistical sample based upon an industry standard such as ANSI C12.1-2014 of each type of meter being removed as part of the program and maintains the removed meters for a period of at least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utility tests any meter upon request of a customer based upon the customer’s experience comparing the replaced and replacement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forgoing its testing procedures under this subrule, a utility shall notify the board that the utility is engaging in a comprehensive meter upgrade program. The notice shall state the option the utility is electing to pursue under subparagraph 20.6(8)</w:t>
      </w:r>
      <w:r>
        <w:rPr>
          <w:rFonts w:ascii="Times New Roman" w:hAnsi="Times New Roman"/>
          <w:b w:val="false"/>
          <w:i/>
          <w:color w:val="000000"/>
          <w:sz w:val="22"/>
        </w:rPr>
        <w:t>“a”</w:t>
      </w:r>
      <w:r>
        <w:rPr>
          <w:rFonts w:ascii="Times New Roman" w:hAnsi="Times New Roman"/>
          <w:b w:val="false"/>
          <w:i w:val="false"/>
          <w:color w:val="000000"/>
          <w:sz w:val="22"/>
        </w:rPr>
        <w:t>(3), the specified period of the program, and the expected number of meters to be upgraded. A utility electing to test a statistical sample of removed meters under subparagraph 20.6(8)</w:t>
      </w:r>
      <w:r>
        <w:rPr>
          <w:rFonts w:ascii="Times New Roman" w:hAnsi="Times New Roman"/>
          <w:b w:val="false"/>
          <w:i/>
          <w:color w:val="000000"/>
          <w:sz w:val="22"/>
        </w:rPr>
        <w:t>“a”</w:t>
      </w:r>
      <w:r>
        <w:rPr>
          <w:rFonts w:ascii="Times New Roman" w:hAnsi="Times New Roman"/>
          <w:b w:val="false"/>
          <w:i w:val="false"/>
          <w:color w:val="000000"/>
          <w:sz w:val="22"/>
        </w:rPr>
        <w:t>(3) shall also state the industry standard it will use to determine the sample size and provide the full text of the standard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shall continue to follow the meter testing procedures for meters removed for any reason unrelated to the comprehensive meter upgrade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utility shall resume the meter testing procedures required under the utility’s own inspection and testing program and subrule 20.6(2) upon completion of the comprehensive meter upgrade program or the end of the specified period,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Standard frequency. The standard frequency for alternating current distribution systems shall be 60 cycles per second. The frequency shall be maintained within limits which will permit the satisfactory operation of customer’s clocks connected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 xml:space="preserve">Voltage limits retail. Each utility supplying electric service to ultimate customers shall provide service voltages in conformance with the standard at </w:t>
      </w:r>
      <w:hyperlink r:id="rId76">
        <w:r>
          <w:rPr>
            <w:rStyle w:val="Hyperlink"/>
            <w:rFonts w:ascii="Times New Roman" w:hAnsi="Times New Roman"/>
            <w:b w:val="false"/>
            <w:i w:val="false"/>
            <w:color w:val="000000"/>
            <w:sz w:val="22"/>
          </w:rPr>
          <w:t>20.5(2)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val="false"/>
          <w:color w:val="000000"/>
          <w:sz w:val="22"/>
        </w:rPr>
        <w:t>Voltage balance. Where three-phase service is provided the utility shall exercise reasonable care to assure that the phase voltages are in balance. In no case shall the ratio of maximum voltage deviation from average to average voltage exceed .02.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20.7(4)</w:t>
      </w:r>
      <w:r>
        <w:rPr>
          <w:rFonts w:ascii="Times New Roman" w:hAnsi="Times New Roman"/>
          <w:b w:val="false"/>
          <w:i w:val="false"/>
          <w:color w:val="000000"/>
          <w:sz w:val="22"/>
        </w:rPr>
        <w:t> </w:t>
      </w:r>
      <w:r>
        <w:rPr>
          <w:rFonts w:ascii="Times New Roman" w:hAnsi="Times New Roman"/>
          <w:b w:val="false"/>
          <w:i w:val="false"/>
          <w:color w:val="000000"/>
          <w:sz w:val="22"/>
        </w:rPr>
        <w:t>Voltage limits, service for resale. The nominal voltage shall be as mutually agreed upon by the parties concerned. The allowable variation shall not exceed 7.5 percent above or below the agreed-upon nominal voltage without the express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20.7(5)</w:t>
      </w:r>
      <w:r>
        <w:rPr>
          <w:rFonts w:ascii="Times New Roman" w:hAnsi="Times New Roman"/>
          <w:b w:val="false"/>
          <w:i w:val="false"/>
          <w:color w:val="000000"/>
          <w:sz w:val="22"/>
        </w:rPr>
        <w:t> </w:t>
      </w:r>
      <w:r>
        <w:rPr>
          <w:rFonts w:ascii="Times New Roman" w:hAnsi="Times New Roman"/>
          <w:b w:val="false"/>
          <w:i w:val="false"/>
          <w:color w:val="000000"/>
          <w:sz w:val="22"/>
        </w:rPr>
        <w:t>Exceptions to voltage requirements. Voltage outside the limits specified will not be considered a violation when the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Arise from the action of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infrequent fluctuations not exceeding five minutes,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Arise from service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Arise from temporary separation of parts of the system from the main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from causes beyond the control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 not exceed 10 percent above or below the standard nominal voltage, and service is at a distribution line or transmission line voltage with the retail customer providing voltage regulators.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20.7(6)</w:t>
      </w:r>
      <w:r>
        <w:rPr>
          <w:rFonts w:ascii="Times New Roman" w:hAnsi="Times New Roman"/>
          <w:b w:val="false"/>
          <w:i w:val="false"/>
          <w:color w:val="000000"/>
          <w:sz w:val="22"/>
        </w:rPr>
        <w:t> </w:t>
      </w:r>
      <w:r>
        <w:rPr>
          <w:rFonts w:ascii="Times New Roman" w:hAnsi="Times New Roman"/>
          <w:b w:val="false"/>
          <w:i w:val="false"/>
          <w:color w:val="000000"/>
          <w:sz w:val="22"/>
        </w:rPr>
        <w:t>Voltage surveys and records. Voltage measurements shall be made at the customer’s entrance terminals. For single-phase service the measurement shall be made between the grounded conductor and the ungrounded conductors. For three-phase service the measurement shall be made between the phase wires.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make a sufficient number of voltage measurements in order to determine if voltages are in compliance with the requirements as stated in </w:t>
      </w:r>
      <w:hyperlink r:id="rId77">
        <w:r>
          <w:rPr>
            <w:rStyle w:val="Hyperlink"/>
            <w:rFonts w:ascii="Times New Roman" w:hAnsi="Times New Roman"/>
            <w:b w:val="false"/>
            <w:i w:val="false"/>
            <w:color w:val="000000"/>
            <w:sz w:val="22"/>
          </w:rPr>
          <w:t>20.7(2)</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20.7(3)</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20.7(4)</w:t>
        </w:r>
      </w:hyperlink>
      <w:r>
        <w:rPr>
          <w:rFonts w:ascii="Times New Roman" w:hAnsi="Times New Roman"/>
          <w:b w:val="false"/>
          <w:i w:val="false"/>
          <w:color w:val="000000"/>
          <w:sz w:val="22"/>
        </w:rPr>
        <w:t>. All records obtained under this subrule shall be retained by the utility for at least two years and shall be available for inspection by the board’s representatives. Notations on each chart shall indicate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voltage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the comparison with a working standard indicating voltmeter.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20.7(8)</w:t>
      </w:r>
      <w:r>
        <w:rPr>
          <w:rFonts w:ascii="Times New Roman" w:hAnsi="Times New Roman"/>
          <w:b w:val="false"/>
          <w:i w:val="false"/>
          <w:color w:val="000000"/>
          <w:sz w:val="22"/>
        </w:rPr>
        <w:t> </w:t>
      </w:r>
      <w:r>
        <w:rPr>
          <w:rFonts w:ascii="Times New Roman" w:hAnsi="Times New Roman"/>
          <w:b w:val="false"/>
          <w:i w:val="false"/>
          <w:color w:val="000000"/>
          <w:sz w:val="22"/>
        </w:rPr>
        <w:t>Equipment for voltage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standard indicating voltmeter. </w:t>
      </w:r>
      <w:r>
        <w:rPr>
          <w:rFonts w:ascii="Times New Roman" w:hAnsi="Times New Roman"/>
          <w:b w:val="false"/>
          <w:i w:val="false"/>
          <w:color w:val="000000"/>
          <w:sz w:val="22"/>
        </w:rPr>
        <w:t>Each utility shall have available at least one indicating voltmeter maintained with error no greater than 0.25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Working standard indicating voltmeters. </w:t>
      </w:r>
      <w:r>
        <w:rPr>
          <w:rFonts w:ascii="Times New Roman" w:hAnsi="Times New Roman"/>
          <w:b w:val="false"/>
          <w:i w:val="false"/>
          <w:color w:val="000000"/>
          <w:sz w:val="22"/>
        </w:rPr>
        <w:t>Each utility shall have at least two indicating voltmeters maintained so as to have as-left errors of no greater than 1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Recording voltmeters. </w:t>
      </w:r>
      <w:r>
        <w:rPr>
          <w:rFonts w:ascii="Times New Roman" w:hAnsi="Times New Roman"/>
          <w:b w:val="false"/>
          <w:i w:val="false"/>
          <w:color w:val="000000"/>
          <w:sz w:val="22"/>
        </w:rPr>
        <w:t>Each utility must have readily available at least two portable recording voltmeters with a rated accuracy of 1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20.7(9)</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12/11/91</w:t>
      </w:r>
      <w:r>
        <w:rPr>
          <w:rFonts w:ascii="Times New Roman" w:hAnsi="Times New Roman"/>
          <w:b w:val="false"/>
          <w:i w:val="false"/>
          <w:color w:val="000000"/>
          <w:sz w:val="22"/>
        </w:rPr>
        <w:t>, effective 1/15/92.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20.7(10)</w:t>
      </w:r>
      <w:r>
        <w:rPr>
          <w:rFonts w:ascii="Times New Roman" w:hAnsi="Times New Roman"/>
          <w:b w:val="false"/>
          <w:i w:val="false"/>
          <w:color w:val="000000"/>
          <w:sz w:val="22"/>
        </w:rPr>
        <w:t> </w:t>
      </w:r>
      <w:r>
        <w:rPr>
          <w:rFonts w:ascii="Times New Roman" w:hAnsi="Times New Roman"/>
          <w:b w:val="false"/>
          <w:i w:val="false"/>
          <w:color w:val="000000"/>
          <w:sz w:val="22"/>
        </w:rPr>
        <w:t>Extreme care must be exercised in the handling of standards and instruments to assure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20.7(11)</w:t>
      </w:r>
      <w:r>
        <w:rPr>
          <w:rFonts w:ascii="Times New Roman" w:hAnsi="Times New Roman"/>
          <w:b w:val="false"/>
          <w:i w:val="false"/>
          <w:color w:val="000000"/>
          <w:sz w:val="22"/>
        </w:rPr>
        <w:t> </w:t>
      </w:r>
      <w:r>
        <w:rPr>
          <w:rFonts w:ascii="Times New Roman" w:hAnsi="Times New Roman"/>
          <w:b w:val="false"/>
          <w:i w:val="false"/>
          <w:color w:val="000000"/>
          <w:sz w:val="22"/>
        </w:rPr>
        <w:t>Planned interruptions shall be made at a time that will not cause unreasonable inconvenience to customers, and interruptions planned for longer than one hour shall be preceded by adequate notice to those who will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quality monitoring. Each utility shall investigate power quality complaints from its customers and determine if the cause of the problem is on the utility’s systems. In addressing these problems, each utility shall implement to the extent reasonably practical the practices outlined in the standard given at </w:t>
      </w:r>
      <w:hyperlink r:id="rId80">
        <w:r>
          <w:rPr>
            <w:rStyle w:val="Hyperlink"/>
            <w:rFonts w:ascii="Times New Roman" w:hAnsi="Times New Roman"/>
            <w:b w:val="false"/>
            <w:i w:val="false"/>
            <w:color w:val="000000"/>
            <w:sz w:val="22"/>
          </w:rPr>
          <w:t>20.5(2)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20.7(13)</w:t>
      </w:r>
      <w:r>
        <w:rPr>
          <w:rFonts w:ascii="Times New Roman" w:hAnsi="Times New Roman"/>
          <w:b w:val="false"/>
          <w:i w:val="false"/>
          <w:color w:val="000000"/>
          <w:sz w:val="22"/>
        </w:rPr>
        <w:t> </w:t>
      </w:r>
      <w:r>
        <w:rPr>
          <w:rFonts w:ascii="Times New Roman" w:hAnsi="Times New Roman"/>
          <w:b w:val="false"/>
          <w:i w:val="false"/>
          <w:color w:val="000000"/>
          <w:sz w:val="22"/>
        </w:rPr>
        <w:t xml:space="preserve">Harmonics. A harmonic is a sinusoidal component of the 60 cycles per second fundamental wave having a frequency that is an integral multiple of the fundamental frequency. When excessive harmonics problems arise, each electric utility shall investigate and take actions to rectify the problem. In addressing harmonics problems, the utility and the customer shall implement to the extent practicable and in conformance with prudent operation the practices outlined in the standard at </w:t>
      </w:r>
      <w:hyperlink r:id="rId81">
        <w:r>
          <w:rPr>
            <w:rStyle w:val="Hyperlink"/>
            <w:rFonts w:ascii="Times New Roman" w:hAnsi="Times New Roman"/>
            <w:b w:val="false"/>
            <w:i w:val="false"/>
            <w:color w:val="000000"/>
            <w:sz w:val="22"/>
          </w:rPr>
          <w:t>20.5(2)</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199—20.8</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utility shall exercise reasonable care to reduce those hazards inherent in connection with its utility service and to which its employees, its customers, and the general public may be subjected and shall adopt and execute a safety program designed to protect the public and fitted to the size and type of its operations. A utility shall include in its safety program procedures for notifying the board and the public of an incident involving a component of a wind turbine, solar facility, storage facility, or any other generating facility where the incident has resulted in damage to adjacent property or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Accident investigation and prevention. </w:t>
      </w:r>
      <w:r>
        <w:rPr>
          <w:rFonts w:ascii="Times New Roman" w:hAnsi="Times New Roman"/>
          <w:b w:val="false"/>
          <w:i w:val="false"/>
          <w:color w:val="000000"/>
          <w:sz w:val="22"/>
        </w:rPr>
        <w:t>The utility shall give reasonable assistance to the board in the investigation of the cause of accidents and in the determination of suitable means of preventing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Reportable accidents. </w:t>
      </w:r>
      <w:r>
        <w:rPr>
          <w:rFonts w:ascii="Times New Roman" w:hAnsi="Times New Roman"/>
          <w:b w:val="false"/>
          <w:i w:val="false"/>
          <w:color w:val="000000"/>
          <w:sz w:val="22"/>
        </w:rPr>
        <w:t xml:space="preserve">Each utility shall maintain a summary of all reportable accidents, as defined in </w:t>
      </w:r>
      <w:hyperlink r:id="rId84">
        <w:r>
          <w:rPr>
            <w:rStyle w:val="Hyperlink"/>
            <w:rFonts w:ascii="Times New Roman" w:hAnsi="Times New Roman"/>
            <w:b w:val="false"/>
            <w:i w:val="false"/>
            <w:color w:val="000000"/>
            <w:sz w:val="22"/>
          </w:rPr>
          <w:t>199—25.5</w:t>
        </w:r>
      </w:hyperlink>
      <w:r>
        <w:rPr>
          <w:rFonts w:ascii="Times New Roman" w:hAnsi="Times New Roman"/>
          <w:b w:val="false"/>
          <w:i w:val="false"/>
          <w:color w:val="000000"/>
          <w:sz w:val="22"/>
        </w:rPr>
        <w:t>(476,478), arising from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color w:val="000000"/>
          <w:sz w:val="22"/>
        </w:rPr>
        <w:t xml:space="preserve">Grounding of secondary distribution system. </w:t>
      </w:r>
      <w:r>
        <w:rPr>
          <w:rFonts w:ascii="Times New Roman" w:hAnsi="Times New Roman"/>
          <w:b w:val="false"/>
          <w:i w:val="false"/>
          <w:color w:val="000000"/>
          <w:sz w:val="22"/>
        </w:rPr>
        <w:t xml:space="preserve">Unless otherwise specified by the board, each utility shall comply with, and shall encourage its customers to comply with, the applicable provisions of the acceptable standards listed in </w:t>
      </w:r>
      <w:hyperlink r:id="rId85">
        <w:r>
          <w:rPr>
            <w:rStyle w:val="Hyperlink"/>
            <w:rFonts w:ascii="Times New Roman" w:hAnsi="Times New Roman"/>
            <w:b w:val="false"/>
            <w:i w:val="false"/>
            <w:color w:val="000000"/>
            <w:sz w:val="22"/>
          </w:rPr>
          <w:t>20.5(2)</w:t>
        </w:r>
      </w:hyperlink>
      <w:r>
        <w:rPr>
          <w:rFonts w:ascii="Times New Roman" w:hAnsi="Times New Roman"/>
          <w:b w:val="false"/>
          <w:i w:val="false"/>
          <w:color w:val="000000"/>
          <w:sz w:val="22"/>
        </w:rPr>
        <w:t xml:space="preserve"> for the grounding of secondary circuits and equipment.</w:t>
      </w:r>
    </w:p>
    <w:p>
      <w:pPr>
        <w:spacing w:before="0" w:after="0"/>
        <w:ind w:left="120"/>
        <w:jc w:val="both"/>
      </w:pPr>
      <w:r>
        <w:rPr>
          <w:rFonts w:ascii="Times New Roman" w:hAnsi="Times New Roman"/>
          <w:b w:val="false"/>
          <w:i w:val="false"/>
          <w:color w:val="000000"/>
          <w:sz w:val="22"/>
        </w:rPr>
        <w:t>Ground connections should be tested for resistance at the time of installation. The utility shall keep a record of all ground resistance measurements.</w:t>
      </w:r>
    </w:p>
    <w:p>
      <w:pPr>
        <w:spacing w:before="0" w:after="0"/>
        <w:ind w:left="120"/>
        <w:jc w:val="both"/>
      </w:pPr>
      <w:r>
        <w:rPr>
          <w:rFonts w:ascii="Times New Roman" w:hAnsi="Times New Roman"/>
          <w:b w:val="false"/>
          <w:i w:val="false"/>
          <w:color w:val="000000"/>
          <w:sz w:val="22"/>
        </w:rPr>
        <w:t>The utility shall establish a program of inspection so that all artificial grounds installed by it shall be inspected within reasonable periods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199—20.9</w:t>
      </w:r>
      <w:r>
        <w:rPr>
          <w:rFonts w:ascii="Times New Roman" w:hAnsi="Times New Roman"/>
          <w:b/>
          <w:i w:val="false"/>
          <w:color w:val="000000"/>
          <w:sz w:val="22"/>
        </w:rPr>
        <w:t xml:space="preserve">(476) </w:t>
      </w:r>
      <w:r>
        <w:rPr>
          <w:rFonts w:ascii="Times New Roman" w:hAnsi="Times New Roman"/>
          <w:b/>
          <w:i w:val="false"/>
          <w:color w:val="000000"/>
          <w:sz w:val="22"/>
        </w:rPr>
        <w:t xml:space="preserve">Electric energy automatic adjustment. </w:t>
      </w:r>
      <w:r>
        <w:rPr>
          <w:rFonts w:ascii="Times New Roman" w:hAnsi="Times New Roman"/>
          <w:b w:val="false"/>
          <w:i w:val="false"/>
          <w:color w:val="000000"/>
          <w:sz w:val="22"/>
        </w:rPr>
        <w:t>The electric energy cost adjustment of the unit charge shall be an energy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 utility’s electric energy adjustment shall recover from consumers only those costs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incurred in supplying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beyond direct control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subject to sudden important change in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Are an important factor in determining the total cost to 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readily, precisely, and continuously segregated in the accounts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Energy adjustment clause. </w:t>
      </w:r>
      <w:r>
        <w:rPr>
          <w:rFonts w:ascii="Times New Roman" w:hAnsi="Times New Roman"/>
          <w:b w:val="false"/>
          <w:i w:val="false"/>
          <w:color w:val="000000"/>
          <w:sz w:val="22"/>
        </w:rPr>
        <w:t>Prior to any period in which a utility proposes to change the adjustment amount for each energy unit delivered to the customer, the utility shall determine and file for board approval the adjustment amount to be charged for each energy unit delivered under rates set by the board. The energy adjustment clause factors shall be printed on the customer’s bill. The filing shall include all invoices (except invoices for fuel, freight, and transportation), worksheets, and detailed supporting data used to determine the amount of the adjustment. Spreadsheets, workbooks, and databases included in filings shall include all cell formulae and cell references. Utilities that participate in a wholesale energy market and use a forecasted energy adjustment clause shall provide information about key inputs and assumptions and explain the differences between the forecast and actual fuel costs. The estimated amount of fossil fuel should be detailed to reflect the amount of fuel, transportation, emission allowances, and other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and maintain journal entries to reflect a breakdown for each type of fuel: actual cost of fuel, transportation costs, and other costs. Items identified as other costs should be described and their inclusion as fuel costs shall be approved by the board. The board may direct that journal entries be filed. The utility shall also file detailed supporting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show the actual amount of sales of energy by month for which an adjustment was utilized,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support the energy cost adjustment balance utilized in the monthly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energy adjustment shall provide for change of the price per kilowatt-hour delivered under rates set by the board based upon the formulas provided in the utility’s tariff. The energy adjustment factor shall be rounded on a consistent basis to either the nearest 0.01¢/kWh or 0.001¢/kWh. The tariff shall define the components of the formula(s) and shall include reference to the specific accounts of the Uniform System of Accounts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period as specified in the tariff, the calculation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energy cost and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electric energy to be delivered and entered in accounts 440, 442, and 444-7, excluding energy from distinct interchange deliveries entered into account 447, and including intrautility energy service as included in accounts 448 and 929 of the Uniform System of Accounts during the month in which the energy adjustment charge will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cost adjustment account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base formula for the energy adjustment factor shall be:</w:t>
      </w:r>
    </w:p>
    <w:p>
      <w:pPr>
        <w:spacing w:before="0" w:after="0"/>
        <w:ind w:left="120"/>
        <w:jc w:val="both"/>
      </w:pPr>
      <w:r>
        <w:rPr>
          <w:rFonts w:ascii="Times New Roman" w:hAnsi="Times New Roman"/>
          <w:b w:val="false"/>
          <w:i w:val="false"/>
          <w:color w:val="000000"/>
          <w:sz w:val="22"/>
        </w:rPr>
        <w:t>Energy adjustment factor = (energy cost adjustment account balance + estimated energy costs and revenues) / estimated energy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energy cost and revenues shall be the estimated cost and revenues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Fossil and nuclear fuel consumed in the utility’s own plants and the utility’s share of fossil and nuclear fuel consumed in jointly owned or leased plants. Fossil fuel shall include natural gas used for electric generation and the cost of fossil fuel transferred from account 151 to account 501 or 547 of the Uniform System of Accounts for Electric Utilities. Nuclear fuel shall be that shown in account 518 of the Uniform System of Accounts except that if account 518 contains any expense for fossil fuel which has already been included in the cost of fossil fuel, it shall be deducted from the account. (Paragraph C of account 518 includes the cost of other fuels used for ancillary steam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steam purchased, or transferred from another department of the utility or from others under a joint facility operating agreement, for use in prime movers producing electric energy (accounts 503 and 521).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deduction shall be made of the expenses of producing steam chargeable to others, to other utility departments under a joint operating agreement, or to other electric accounts outside the steam generation group of accounts (accounts 504 and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water used for hydraulic power generation. Water cost shall be limited to items of account 536 of the Uniform System of Accounts. For pumped storage projects, the energy cost of pumping is included. Pumping energy cost shall be determined from the applicable costs of subparagraphs of paragraph </w:t>
      </w:r>
      <w:hyperlink r:id="rId86">
        <w:r>
          <w:rPr>
            <w:rStyle w:val="Hyperlink"/>
            <w:rFonts w:ascii="Times New Roman" w:hAnsi="Times New Roman"/>
            <w:b w:val="false"/>
            <w:i w:val="false"/>
            <w:color w:val="000000"/>
            <w:sz w:val="22"/>
          </w:rPr>
          <w:t>20.9(2)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energy costs paid for energy purchased under arrangements or contracts, as entered into account 555 of the Uniform System of Accounts, less the energy revenues to be recovered from corresponding sales, as entered in account 447 of the Uniform System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Purchases from alternative energy production facilities under rule </w:t>
      </w:r>
      <w:hyperlink r:id="rId87">
        <w:r>
          <w:rPr>
            <w:rStyle w:val="Hyperlink"/>
            <w:rFonts w:ascii="Times New Roman" w:hAnsi="Times New Roman"/>
            <w:b w:val="false"/>
            <w:i w:val="false"/>
            <w:color w:val="000000"/>
            <w:sz w:val="22"/>
          </w:rPr>
          <w:t>199—15.11(476)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weighted average costs of inventoried allowances used in generating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gains and losses, as described in </w:t>
      </w:r>
      <w:hyperlink r:id="rId88">
        <w:r>
          <w:rPr>
            <w:rStyle w:val="Hyperlink"/>
            <w:rFonts w:ascii="Times New Roman" w:hAnsi="Times New Roman"/>
            <w:b w:val="false"/>
            <w:i w:val="false"/>
            <w:color w:val="000000"/>
            <w:sz w:val="22"/>
          </w:rPr>
          <w:t>subrule 20.17(9)</w:t>
        </w:r>
      </w:hyperlink>
      <w:r>
        <w:rPr>
          <w:rFonts w:ascii="Times New Roman" w:hAnsi="Times New Roman"/>
          <w:b w:val="false"/>
          <w:i w:val="false"/>
          <w:color w:val="000000"/>
          <w:sz w:val="22"/>
        </w:rPr>
        <w:t>, from allowance transactions occurring during the month. Allowance transactions shall include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costs or credits associated with the utility’s annual reconciliation of its alternate energy purchase program under 199—paragraph </w:t>
      </w:r>
      <w:hyperlink r:id="rId89">
        <w:r>
          <w:rPr>
            <w:rStyle w:val="Hyperlink"/>
            <w:rFonts w:ascii="Times New Roman" w:hAnsi="Times New Roman"/>
            <w:b w:val="false"/>
            <w:i w:val="false"/>
            <w:color w:val="000000"/>
            <w:sz w:val="22"/>
          </w:rPr>
          <w:t>15.17(4)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Federal production tax credits unless the board approves different ratemaking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costs and revenues as specified in the utility’s tariff and approved by the board. For all other costs and revenues, the utility shall provide the type of cost, the dollar amount, and reference to the board order approving the cost to be included in the energy adjustment clause (EAC).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energy cost adjustment account balance shall be the cumulative balance of any excess or deficiency which arises out of the difference between board recognized energy cost recovery and the amount recovered through application of energy charges to consumption under rates set by the board. The calculation for the energy cost adjustment account balances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energy expense for the prior period and recorded in accounts 440, 442 and 444-6 of the Uniform System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electric energy delivered for the prior period and recorded in accounts 440, 442, and 444-7, excluding energy from distinct interchange deliveries entered into account 447, and including intrautility energy service as included in accounts 448 and 929 of the Uniform System of Accounts;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beginning energy cost adjustment account balance (overrecovered or underrecovered amount) for the current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 account for nuclear generation. A rate-regulated utility owning nuclear generation or purchasing energy under a participation power agreement on nuclear generation may establish a reserve account. The reserve account will spread the higher cost of energy used to replace the energy normally received from nuclear sources. A surcharge would be added to each kilowatt-hour from the nuclear source. The surcharges collected are credited to the reserve account. During an outage or reduced level of operation, replacement energy cost would be offset through debit to the reserve account. The debit would be based upon the cost differential between replacement energy cost and the average cost (including the surcharge) of energy from the nuclear capacity. A reserve account shall have credit and debit limitations equal in dollar amounts to the total cost differential for replacement energy during a normal refueling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rate-regulated utility desiring to collect expensed allowance costs and the gains and losses from allowance transactions through the energy adjustment must file with the board monthly reports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weighted average unit cost of allowances used during the month to offset emissions from the utility’s affected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unit price of allowances purchased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and unit price of allowances sold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weighted average unit cost of allowances remaining in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amount of any gain from an allowance sale occurring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dollar amount of any loss from an allowance sale occurring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Documentation of any gain or loss from an allowance sale occurring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energy adjustment clause factor may include other automatic adjustment mechanisms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 Utilities not making monthly changes to the adjustment amount. </w:t>
      </w:r>
      <w:r>
        <w:rPr>
          <w:rFonts w:ascii="Times New Roman" w:hAnsi="Times New Roman"/>
          <w:b w:val="false"/>
          <w:i w:val="false"/>
          <w:color w:val="000000"/>
          <w:sz w:val="22"/>
        </w:rPr>
        <w:t>Utilities that do not file monthly adjustments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the information pursuant to </w:t>
      </w:r>
      <w:hyperlink r:id="rId90">
        <w:r>
          <w:rPr>
            <w:rStyle w:val="Hyperlink"/>
            <w:rFonts w:ascii="Times New Roman" w:hAnsi="Times New Roman"/>
            <w:b w:val="false"/>
            <w:i w:val="false"/>
            <w:color w:val="000000"/>
            <w:sz w:val="22"/>
          </w:rPr>
          <w:t>subrule 20.9(2)</w:t>
        </w:r>
      </w:hyperlink>
      <w:r>
        <w:rPr>
          <w:rFonts w:ascii="Times New Roman" w:hAnsi="Times New Roman"/>
          <w:b w:val="false"/>
          <w:i w:val="false"/>
          <w:color w:val="000000"/>
          <w:sz w:val="22"/>
        </w:rPr>
        <w:t xml:space="preserve">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an annual reconciliation of the EAC factor and an update to the EAC factor. The date of the annual reconciliation and update shall be specified in the utility’s tariff. The reconciliation shall follow the requirements of </w:t>
      </w:r>
      <w:hyperlink r:id="rId91">
        <w:r>
          <w:rPr>
            <w:rStyle w:val="Hyperlink"/>
            <w:rFonts w:ascii="Times New Roman" w:hAnsi="Times New Roman"/>
            <w:b w:val="false"/>
            <w:i w:val="false"/>
            <w:color w:val="000000"/>
            <w:sz w:val="22"/>
          </w:rPr>
          <w:t>subrule 20.9(2)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semiannual adjustment if the absolute value of the cumulative over recovery or under recovery amount is greater than 20 percent of the forecasted net recoverable energy costs for the EAC year. The semiannual adjustment filing shall be filed six months after the annual reconciliation and update filing and shall follow the requirements of </w:t>
      </w:r>
      <w:hyperlink r:id="rId92">
        <w:r>
          <w:rPr>
            <w:rStyle w:val="Hyperlink"/>
            <w:rFonts w:ascii="Times New Roman" w:hAnsi="Times New Roman"/>
            <w:b w:val="false"/>
            <w:i w:val="false"/>
            <w:color w:val="000000"/>
            <w:sz w:val="22"/>
          </w:rPr>
          <w:t>subrule 20.9(2)</w:t>
        </w:r>
      </w:hyperlink>
      <w:r>
        <w:rPr>
          <w:rFonts w:ascii="Times New Roman" w:hAnsi="Times New Roman"/>
          <w:b w:val="false"/>
          <w:i w:val="false"/>
          <w:color w:val="000000"/>
          <w:sz w:val="22"/>
        </w:rPr>
        <w:t>, but will be limited to the remaining months of the year. The semiannual factor updates may utilize updated forecasts for the costs and sales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 Review of energy adjustment clause. </w:t>
      </w:r>
      <w:r>
        <w:rPr>
          <w:rFonts w:ascii="Times New Roman" w:hAnsi="Times New Roman"/>
          <w:b w:val="false"/>
          <w:i w:val="false"/>
          <w:color w:val="000000"/>
          <w:sz w:val="22"/>
        </w:rPr>
        <w:t>At least biennially, but no more than annually, the board shall require each utility that owns generation and utilizes an energy adjustment clause to provide fuel, freight, and transportation invoices from two months of the previous calendar year. The utility shall include an explanation of and demonstrate how these invoices correspond to the energy adjustment clause calculations. The explanation shall include inventory accounting information and average cost of fuel and transportation included in the energy adjustment clause calculations. The board will notify each utility by May 1 as to which two months’ invoices will be required. These invoices shall be filed with the board no later than the subsequent November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With the first filing of the utility’s EAC year, each utility participating in a wholesale market shall file a report explaining how participation results in reduced customer rates or reduces increases in customer rates, identifying current and evolving market issues that are expected to impact rates, and describing the utility’s efforts to influence market issues for the benefit of customers.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199—20.10</w:t>
      </w:r>
      <w:r>
        <w:rPr>
          <w:rFonts w:ascii="Times New Roman" w:hAnsi="Times New Roman"/>
          <w:b/>
          <w:i w:val="false"/>
          <w:color w:val="000000"/>
          <w:sz w:val="22"/>
        </w:rPr>
        <w:t xml:space="preserve">(476) </w:t>
      </w:r>
      <w:r>
        <w:rPr>
          <w:rFonts w:ascii="Times New Roman" w:hAnsi="Times New Roman"/>
          <w:b/>
          <w:i w:val="false"/>
          <w:color w:val="000000"/>
          <w:sz w:val="22"/>
        </w:rPr>
        <w:t xml:space="preserve">Ratemaking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color w:val="000000"/>
          <w:sz w:val="22"/>
        </w:rPr>
        <w:t xml:space="preserve">Coverage. </w:t>
      </w:r>
      <w:r>
        <w:rPr>
          <w:rFonts w:ascii="Times New Roman" w:hAnsi="Times New Roman"/>
          <w:b w:val="false"/>
          <w:i w:val="false"/>
          <w:color w:val="000000"/>
          <w:sz w:val="22"/>
        </w:rPr>
        <w:t>Standards for ratemaking shall apply to all rate-regulated utilities in the state of Iowa. The board may, by rule or by order in specific cases, exempt a utility or class of utilities from any or all ratemaking standards. The standards are recommended to all service-regulated utilities in this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color w:val="000000"/>
          <w:sz w:val="22"/>
        </w:rPr>
        <w:t xml:space="preserve">Cost of service. </w:t>
      </w:r>
      <w:r>
        <w:rPr>
          <w:rFonts w:ascii="Times New Roman" w:hAnsi="Times New Roman"/>
          <w:b w:val="false"/>
          <w:i w:val="false"/>
          <w:color w:val="000000"/>
          <w:sz w:val="22"/>
        </w:rPr>
        <w:t>Rates charged by an electric utility for providing electric service to each class of electric consumers shall be designed, to the maximum extent practicable, to reasonably reflect the costs of providing electric service to the class. The methods used to determine class costs of service shall to the maximum extent practical permit identification of differences in cost-incurrence, for each class of electric consumers, attributable to daily and seasonal time of use of service, and permit identification of differences in cost-incurrence attributable to differences in demand, energy, and customer components of cost.</w:t>
      </w:r>
    </w:p>
    <w:p>
      <w:pPr>
        <w:spacing w:before="0" w:after="0"/>
        <w:ind w:left="120"/>
        <w:jc w:val="both"/>
      </w:pPr>
      <w:r>
        <w:rPr>
          <w:rFonts w:ascii="Times New Roman" w:hAnsi="Times New Roman"/>
          <w:b w:val="false"/>
          <w:i w:val="false"/>
          <w:color w:val="000000"/>
          <w:sz w:val="22"/>
        </w:rPr>
        <w:t>The design of rates should reasonably approximate a pricing methodology for any individual utility that would reflect the price system that would exist in a competitive market environment. For purposes of determining revenue requirements among customer classes, embedded costs shall be preferred. For purposes of determining rate designs within customer classes, long-run marginal cost approaches are preferred although embedded cost approaches may be considered reasonable.</w:t>
      </w:r>
    </w:p>
    <w:p>
      <w:pPr>
        <w:spacing w:before="0" w:after="0"/>
        <w:ind w:left="120"/>
        <w:jc w:val="both"/>
      </w:pPr>
      <w:r>
        <w:rPr>
          <w:rFonts w:ascii="Times New Roman" w:hAnsi="Times New Roman"/>
          <w:b w:val="false"/>
          <w:i w:val="false"/>
          <w:color w:val="000000"/>
          <w:sz w:val="22"/>
        </w:rPr>
        <w:t>Nothing in this rule shall authorize or require the recovery by an electric utility of revenues in excess of, or less than, the amount of revenues otherwise determined to be lawful by the board.</w:t>
      </w:r>
    </w:p>
    <w:p>
      <w:pPr>
        <w:spacing w:before="0" w:after="0"/>
        <w:ind w:left="120"/>
        <w:jc w:val="both"/>
      </w:pPr>
      <w:r>
        <w:rPr>
          <w:rFonts w:ascii="Times New Roman" w:hAnsi="Times New Roman"/>
          <w:b w:val="false"/>
          <w:i w:val="false"/>
          <w:color w:val="000000"/>
          <w:sz w:val="22"/>
        </w:rPr>
        <w:t>Guidelines for use in evaluating the acceptability of methods of class cost of service estimation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usage of customer, demand, and energy components of service shall be considered new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Customer classes shall be established on the primary basis of reasonably similar usage patterns within classes, even if this requires disaggregation or recombination of traditional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Generating capacity estimates or allocations among and within classes shall recognize that utility systems are designed to serve both peak and off-peak demand, and shall attribute costs based upon both peak period demand and the contribution of off-peak period demand in determining generation mix. Generating capacity estimates and allocations among and within classes shall be based on load data for each class as described in </w:t>
      </w:r>
      <w:hyperlink r:id="rId93">
        <w:r>
          <w:rPr>
            <w:rStyle w:val="Hyperlink"/>
            <w:rFonts w:ascii="Times New Roman" w:hAnsi="Times New Roman"/>
            <w:b w:val="false"/>
            <w:i w:val="false"/>
            <w:color w:val="000000"/>
            <w:sz w:val="22"/>
          </w:rPr>
          <w:t>199—subrule 35.9(2)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Transmission and distribution capacity estimates or allocations among and within classes shall be demand-related based upon system usage patterns, and the load imposed by a class on the transmission or distribution capacity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Customer cost component estimates or allocations shall include only costs of the distribution system from and including transformers, meters and associated customer service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of cost estimates or allocations among customer classes shall recognize the differences in voltage levels and other service characteristics, and line losses among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of class cost of service determination which are consistent with zero customer, demand, or energy component costs or major categories of these, such as generation, transmission or distribution, shall be considered unacceptable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Long-run marginal cost methods of class cost of service determination shall clearly reflect changes in total costs to the utility with respect to changes in the outputs of customer, demand, or energy components of electric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use of an inverse elasticity approach to adjust long-run marginal cost-based rates to the revenue requirement shall be unacceptable. Other approaches will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color w:val="000000"/>
          <w:sz w:val="22"/>
        </w:rPr>
        <w:t xml:space="preserve">Declining block rates. </w:t>
      </w:r>
      <w:r>
        <w:rPr>
          <w:rFonts w:ascii="Times New Roman" w:hAnsi="Times New Roman"/>
          <w:b w:val="false"/>
          <w:i w:val="false"/>
          <w:color w:val="000000"/>
          <w:sz w:val="22"/>
        </w:rPr>
        <w:t>The energy-related cost component of a rate, or the amount attributable to the energy-related cost component of a rate, charged by an electric utility for providing electric service during any period to any class of electric consumers, shall not decrease as kilowatt-hour consumption by such class increases during the period except to the extent that the utility demonstrates that the energy costs of providing electric service to such class decrease as consumption increases during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20.10(4)</w:t>
      </w:r>
      <w:r>
        <w:rPr>
          <w:rFonts w:ascii="Times New Roman" w:hAnsi="Times New Roman"/>
          <w:b w:val="false"/>
          <w:i w:val="false"/>
          <w:color w:val="000000"/>
          <w:sz w:val="22"/>
        </w:rPr>
        <w:t> </w:t>
      </w:r>
      <w:r>
        <w:rPr>
          <w:rFonts w:ascii="Times New Roman" w:hAnsi="Times New Roman"/>
          <w:b w:val="false"/>
          <w:i/>
          <w:color w:val="000000"/>
          <w:sz w:val="22"/>
        </w:rPr>
        <w:t xml:space="preserve">Time-of-day rates. </w:t>
      </w:r>
      <w:r>
        <w:rPr>
          <w:rFonts w:ascii="Times New Roman" w:hAnsi="Times New Roman"/>
          <w:b w:val="false"/>
          <w:i w:val="false"/>
          <w:color w:val="000000"/>
          <w:sz w:val="22"/>
        </w:rPr>
        <w:t>The rates charged by any electric utility for providing electric service to each class of electric consumers shall be on a time-of-day basis which reflects the cost of providing electric service to that class of electric consumers at different times of the day unless such rates are not cost-effective with respect to the class. These rates are cost-effective with respect to a class if the long-run benefits of the rate to the electric utility and its electric consumers in the class concerned are likely to exceed the metering costs and other costs associated with the use of the rates. Cost-based time-of-day rates shall be offered on an optional basis to electric consumers who do not otherwise qualify for the rates if consumers agree to pay the additional metering costs and other costs associated with the use of the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20.10(5)</w:t>
      </w:r>
      <w:r>
        <w:rPr>
          <w:rFonts w:ascii="Times New Roman" w:hAnsi="Times New Roman"/>
          <w:b w:val="false"/>
          <w:i w:val="false"/>
          <w:color w:val="000000"/>
          <w:sz w:val="22"/>
        </w:rPr>
        <w:t> </w:t>
      </w:r>
      <w:r>
        <w:rPr>
          <w:rFonts w:ascii="Times New Roman" w:hAnsi="Times New Roman"/>
          <w:b w:val="false"/>
          <w:i/>
          <w:color w:val="000000"/>
          <w:sz w:val="22"/>
        </w:rPr>
        <w:t xml:space="preserve">Seasonal rates. </w:t>
      </w:r>
      <w:r>
        <w:rPr>
          <w:rFonts w:ascii="Times New Roman" w:hAnsi="Times New Roman"/>
          <w:b w:val="false"/>
          <w:i w:val="false"/>
          <w:color w:val="000000"/>
          <w:sz w:val="22"/>
        </w:rPr>
        <w:t>The rates charged by an electric utility for providing electric service to each class of electric consumers may be on a seasonal basis which reflects the costs of providing service to the class of consumers at different seasons of the year to the extent that costs vary seasonally for the utility, if the board determines that seasonal rates are appropriate in an individual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20.10(6)</w:t>
      </w:r>
      <w:r>
        <w:rPr>
          <w:rFonts w:ascii="Times New Roman" w:hAnsi="Times New Roman"/>
          <w:b w:val="false"/>
          <w:i w:val="false"/>
          <w:color w:val="000000"/>
          <w:sz w:val="22"/>
        </w:rPr>
        <w:t> </w:t>
      </w:r>
      <w:r>
        <w:rPr>
          <w:rFonts w:ascii="Times New Roman" w:hAnsi="Times New Roman"/>
          <w:b w:val="false"/>
          <w:i/>
          <w:color w:val="000000"/>
          <w:sz w:val="22"/>
        </w:rPr>
        <w:t xml:space="preserve">Interruptible rates. </w:t>
      </w:r>
      <w:r>
        <w:rPr>
          <w:rFonts w:ascii="Times New Roman" w:hAnsi="Times New Roman"/>
          <w:b w:val="false"/>
          <w:i w:val="false"/>
          <w:color w:val="000000"/>
          <w:sz w:val="22"/>
        </w:rPr>
        <w:t>Each electric utility shall offer each industrial and commercial electric consumer an interruptible rate which reflects the cost of providing interruptible service to the class of which the consumer is a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20.10(7)</w:t>
      </w:r>
      <w:r>
        <w:rPr>
          <w:rFonts w:ascii="Times New Roman" w:hAnsi="Times New Roman"/>
          <w:b w:val="false"/>
          <w:i w:val="false"/>
          <w:color w:val="000000"/>
          <w:sz w:val="22"/>
        </w:rPr>
        <w:t> </w:t>
      </w:r>
      <w:r>
        <w:rPr>
          <w:rFonts w:ascii="Times New Roman" w:hAnsi="Times New Roman"/>
          <w:b w:val="false"/>
          <w:i/>
          <w:color w:val="000000"/>
          <w:sz w:val="22"/>
        </w:rPr>
        <w:t xml:space="preserve">Load management techniques.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20.10(8)</w:t>
      </w:r>
      <w:r>
        <w:rPr>
          <w:rFonts w:ascii="Times New Roman" w:hAnsi="Times New Roman"/>
          <w:b w:val="false"/>
          <w:i w:val="false"/>
          <w:color w:val="000000"/>
          <w:sz w:val="22"/>
        </w:rPr>
        <w:t> </w:t>
      </w:r>
      <w:r>
        <w:rPr>
          <w:rFonts w:ascii="Times New Roman" w:hAnsi="Times New Roman"/>
          <w:b w:val="false"/>
          <w:i/>
          <w:color w:val="000000"/>
          <w:sz w:val="22"/>
        </w:rPr>
        <w:t xml:space="preserve">Other energy conservation strategies.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20.10(9)</w:t>
      </w:r>
      <w:r>
        <w:rPr>
          <w:rFonts w:ascii="Times New Roman" w:hAnsi="Times New Roman"/>
          <w:b w:val="false"/>
          <w:i w:val="false"/>
          <w:color w:val="000000"/>
          <w:sz w:val="22"/>
        </w:rPr>
        <w:t> </w:t>
      </w:r>
      <w:r>
        <w:rPr>
          <w:rFonts w:ascii="Times New Roman" w:hAnsi="Times New Roman"/>
          <w:b w:val="false"/>
          <w:i/>
          <w:color w:val="000000"/>
          <w:sz w:val="22"/>
        </w:rPr>
        <w:t xml:space="preserve">Pilot projects.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i w:val="false"/>
          <w:color w:val="000000"/>
          <w:sz w:val="22"/>
        </w:rPr>
        <w:t>199—20.11</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notification of peaks in electric energy demand.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4">
        <w:r>
          <w:rPr>
            <w:rStyle w:val="Hyperlink"/>
            <w:rFonts w:ascii="Times New Roman" w:hAnsi="Times New Roman"/>
            <w:b w:val="false"/>
            <w:i w:val="false"/>
            <w:color w:val="000000"/>
            <w:sz w:val="22"/>
          </w:rPr>
          <w:t>476.17</w:t>
        </w:r>
      </w:hyperlink>
      <w:r>
        <w:rPr>
          <w:rFonts w:ascii="Times New Roman" w:hAnsi="Times New Roman"/>
          <w:b w:val="false"/>
          <w:i w:val="false"/>
          <w:color w:val="000000"/>
          <w:sz w:val="22"/>
        </w:rPr>
        <w:t>, each investor-owned utility shall have a plan to notify its customers of an approaching peak demand on the day when peak demand is likely to occur. The plan shall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The plan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explanation of the condition(s) that will prompt a peak alert.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 for a general notice to be given to customers prior to the time when peak demand is likely to occur and an explanation of when and how notice of an approaching peak in electric demand will be given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text of the message or messages to be given in the general notice to customers. The message shall include the name of the utility providing the notice, an explanation that conditions exist which indicate a peak in electric demand is approaching, and an explanation of the significance of reductions in electricity use during a period of peak demand and the potential benefits of energy efficiency.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1953C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199—20.12</w:t>
      </w:r>
      <w:r>
        <w:rPr>
          <w:rFonts w:ascii="Times New Roman" w:hAnsi="Times New Roman"/>
          <w:b/>
          <w:i w:val="false"/>
          <w:color w:val="000000"/>
          <w:sz w:val="22"/>
        </w:rPr>
        <w:t xml:space="preserve">(476) </w:t>
      </w:r>
      <w:r>
        <w:rPr>
          <w:rFonts w:ascii="Times New Roman" w:hAnsi="Times New Roman"/>
          <w:b/>
          <w:i w:val="false"/>
          <w:color w:val="000000"/>
          <w:sz w:val="22"/>
        </w:rPr>
        <w:t xml:space="preserve">New structure energy conservation standards.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i w:val="false"/>
          <w:color w:val="000000"/>
          <w:sz w:val="22"/>
        </w:rPr>
        <w:t>199—20.13</w:t>
      </w:r>
      <w:r>
        <w:rPr>
          <w:rFonts w:ascii="Times New Roman" w:hAnsi="Times New Roman"/>
          <w:b/>
          <w:i w:val="false"/>
          <w:color w:val="000000"/>
          <w:sz w:val="22"/>
        </w:rPr>
        <w:t xml:space="preserve">(476) </w:t>
      </w:r>
      <w:r>
        <w:rPr>
          <w:rFonts w:ascii="Times New Roman" w:hAnsi="Times New Roman"/>
          <w:b/>
          <w:i w:val="false"/>
          <w:color w:val="000000"/>
          <w:sz w:val="22"/>
        </w:rPr>
        <w:t xml:space="preserve">Periodic electric energy supply and cost review [476.6(16)].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color w:val="000000"/>
          <w:sz w:val="22"/>
        </w:rPr>
        <w:t xml:space="preserve">Procurement plan. </w:t>
      </w:r>
      <w:r>
        <w:rPr>
          <w:rFonts w:ascii="Times New Roman" w:hAnsi="Times New Roman"/>
          <w:b w:val="false"/>
          <w:i w:val="false"/>
          <w:color w:val="000000"/>
          <w:sz w:val="22"/>
        </w:rPr>
        <w:t xml:space="preserve">Pursuant to Iowa Code section </w:t>
      </w:r>
      <w:hyperlink r:id="rId95">
        <w:r>
          <w:rPr>
            <w:rStyle w:val="Hyperlink"/>
            <w:rFonts w:ascii="Times New Roman" w:hAnsi="Times New Roman"/>
            <w:b w:val="false"/>
            <w:i w:val="false"/>
            <w:color w:val="000000"/>
            <w:sz w:val="22"/>
          </w:rPr>
          <w:t>476.6(12)</w:t>
        </w:r>
      </w:hyperlink>
      <w:r>
        <w:rPr>
          <w:rFonts w:ascii="Times New Roman" w:hAnsi="Times New Roman"/>
          <w:b w:val="false"/>
          <w:i w:val="false"/>
          <w:color w:val="000000"/>
          <w:sz w:val="22"/>
        </w:rPr>
        <w:t>, the board shall periodically conduct a contested case proceeding for the purpose of evaluating the reasonableness and prudence of a rate-regulated public utility’s practices related to procurement of and contracting for fuel used in generating electricity. When it determines to conduct a contested case proceeding, the board shall notify a rate-regulated utility that it will be required to file an electric fuel procurement plan. The notification to the utility shall include a detailed list of what the board will be examining as part of the review. The utility shall file its plan no later than 105 days after notification unless otherwise directed by the board. A utility’s procurement plan shall be organized to include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The plan shall include an index of all documents and information required to be filed in the plan, and the identification of the board files in which the documents incorporated by reference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contracts and arrangements. </w:t>
      </w:r>
      <w:r>
        <w:rPr>
          <w:rFonts w:ascii="Times New Roman" w:hAnsi="Times New Roman"/>
          <w:b w:val="false"/>
          <w:i w:val="false"/>
          <w:color w:val="000000"/>
          <w:sz w:val="22"/>
        </w:rPr>
        <w:t>A utility’s procurement plan shall include detailed summaries of the following types of contracts and agreements executed since the last procurement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contracts and fuel supply arrangements for obtaining fuel for use by any unit in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contracts and arrangements for transporting fuel from point of production to the site where placed in inventory, including any unit generating electricity for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contracts and arrangements for purchasing or selling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Purchased power contracts or arrangements, including sale-of-capacity contracts, involving over 25 MW of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Pool interchange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Multiutility transmission line interchange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Interchange agreements between investor-owned utilities, generation and transmission cooperatives, or both, not required to be filed above, which were entered into or in effect since the last filing, and all such contracts or arrangements which will be entered into or exercised by the utility during the prospective 12-month period.</w:t>
      </w:r>
    </w:p>
    <w:p>
      <w:pPr>
        <w:spacing w:before="0" w:after="0"/>
        <w:ind w:left="120"/>
        <w:jc w:val="both"/>
      </w:pPr>
      <w:r>
        <w:rPr>
          <w:rFonts w:ascii="Times New Roman" w:hAnsi="Times New Roman"/>
          <w:b w:val="false"/>
          <w:i w:val="false"/>
          <w:color w:val="000000"/>
          <w:sz w:val="22"/>
        </w:rPr>
        <w:t>All procurement plans filed by a utility shall include all of the types of contracts and arrangements listed in subparagraphs (1) and (2) of this paragraph which will be entered into or exercised by the utility during the prospective 12-month period. In addition, the utility shall file an updated list of contracts that are or will become subject to renegotiation, extension, or termination within five years. The utility shall also update any price adjustment affecting any of the filed contracts or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contract offers. </w:t>
      </w:r>
      <w:r>
        <w:rPr>
          <w:rFonts w:ascii="Times New Roman" w:hAnsi="Times New Roman"/>
          <w:b w:val="false"/>
          <w:i w:val="false"/>
          <w:color w:val="000000"/>
          <w:sz w:val="22"/>
        </w:rPr>
        <w:t xml:space="preserve">The procurement plan shall include a list and description of those types of contracts and arrangements listed in paragraph </w:t>
      </w:r>
      <w:hyperlink r:id="rId96">
        <w:r>
          <w:rPr>
            <w:rStyle w:val="Hyperlink"/>
            <w:rFonts w:ascii="Times New Roman" w:hAnsi="Times New Roman"/>
            <w:b w:val="false"/>
            <w:i w:val="false"/>
            <w:color w:val="000000"/>
            <w:sz w:val="22"/>
          </w:rPr>
          <w:t>20.13(1)</w:t>
        </w:r>
        <w:r>
          <w:rPr>
            <w:rFonts w:ascii="Times New Roman" w:hAnsi="Times New Roman"/>
            <w:b w:val="false"/>
            <w:i/>
            <w:color w:val="000000"/>
            <w:sz w:val="22"/>
          </w:rPr>
          <w:t>“b”</w:t>
        </w:r>
      </w:hyperlink>
      <w:r>
        <w:rPr>
          <w:rFonts w:ascii="Times New Roman" w:hAnsi="Times New Roman"/>
          <w:b w:val="false"/>
          <w:i w:val="false"/>
          <w:color w:val="000000"/>
          <w:sz w:val="22"/>
        </w:rPr>
        <w:t xml:space="preserve"> offered to the utility since the last filing into which the utility did not enter. In addition, the procurement plan shall include a list of those types of contracts and arrangements listed in paragraph </w:t>
      </w:r>
      <w:hyperlink r:id="rId97">
        <w:r>
          <w:rPr>
            <w:rStyle w:val="Hyperlink"/>
            <w:rFonts w:ascii="Times New Roman" w:hAnsi="Times New Roman"/>
            <w:b w:val="false"/>
            <w:i w:val="false"/>
            <w:color w:val="000000"/>
            <w:sz w:val="22"/>
          </w:rPr>
          <w:t>20.13(1)</w:t>
        </w:r>
        <w:r>
          <w:rPr>
            <w:rFonts w:ascii="Times New Roman" w:hAnsi="Times New Roman"/>
            <w:b w:val="false"/>
            <w:i/>
            <w:color w:val="000000"/>
            <w:sz w:val="22"/>
          </w:rPr>
          <w:t>“b”</w:t>
        </w:r>
      </w:hyperlink>
      <w:r>
        <w:rPr>
          <w:rFonts w:ascii="Times New Roman" w:hAnsi="Times New Roman"/>
          <w:b w:val="false"/>
          <w:i w:val="false"/>
          <w:color w:val="000000"/>
          <w:sz w:val="22"/>
        </w:rPr>
        <w:t xml:space="preserve"> which were offered to the utility for the prospective 12-month period and into which the utility did not 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Studies or investigation reports. </w:t>
      </w:r>
      <w:r>
        <w:rPr>
          <w:rFonts w:ascii="Times New Roman" w:hAnsi="Times New Roman"/>
          <w:b w:val="false"/>
          <w:i w:val="false"/>
          <w:color w:val="000000"/>
          <w:sz w:val="22"/>
        </w:rPr>
        <w:t xml:space="preserve">The procurement plans shall include all studies or investigation reports which have been considered by the utility in deciding whether to enter into any of those types of contracts or arrangements listed in paragraphs </w:t>
      </w:r>
      <w:hyperlink r:id="rId98">
        <w:r>
          <w:rPr>
            <w:rStyle w:val="Hyperlink"/>
            <w:rFonts w:ascii="Times New Roman" w:hAnsi="Times New Roman"/>
            <w:b w:val="false"/>
            <w:i w:val="false"/>
            <w:color w:val="000000"/>
            <w:sz w:val="22"/>
          </w:rPr>
          <w:t>20.13(1)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which will be exercised or entered into during the prospective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Price hedge justification. </w:t>
      </w:r>
      <w:r>
        <w:rPr>
          <w:rFonts w:ascii="Times New Roman" w:hAnsi="Times New Roman"/>
          <w:b w:val="false"/>
          <w:i w:val="false"/>
          <w:color w:val="000000"/>
          <w:sz w:val="22"/>
        </w:rPr>
        <w:t>The procurement plan shall justify purchasing allowance futures contracts as a hedge against future price changes in the market rather than for speculation.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Actual and projected costs. </w:t>
      </w:r>
      <w:r>
        <w:rPr>
          <w:rFonts w:ascii="Times New Roman" w:hAnsi="Times New Roman"/>
          <w:b w:val="false"/>
          <w:i w:val="false"/>
          <w:color w:val="000000"/>
          <w:sz w:val="22"/>
        </w:rPr>
        <w:t xml:space="preserve">The procurement plan shall include an accounting of the actual costs incurred in the purchase and transportation of fuel and the purchase of allowances for use in generating electricity associated with each contract or arrangement filed in accordance with paragraph </w:t>
      </w:r>
      <w:hyperlink r:id="rId99">
        <w:r>
          <w:rPr>
            <w:rStyle w:val="Hyperlink"/>
            <w:rFonts w:ascii="Times New Roman" w:hAnsi="Times New Roman"/>
            <w:b w:val="false"/>
            <w:i w:val="false"/>
            <w:color w:val="000000"/>
            <w:sz w:val="22"/>
          </w:rPr>
          <w:t>20.13(1)</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previous 12-month period.</w:t>
      </w:r>
    </w:p>
    <w:p>
      <w:pPr>
        <w:spacing w:before="0" w:after="0"/>
        <w:ind w:left="120"/>
        <w:jc w:val="both"/>
      </w:pPr>
      <w:r>
        <w:rPr>
          <w:rFonts w:ascii="Times New Roman" w:hAnsi="Times New Roman"/>
          <w:b w:val="false"/>
          <w:i w:val="false"/>
          <w:color w:val="000000"/>
          <w:sz w:val="22"/>
        </w:rPr>
        <w:t xml:space="preserve">The procurement plan also shall include an accounting of all costs projected to be incurred by the utility in the purchase and transportation of fuel and the purchase of allowances for use in generating electricity associated with each contract or arrangement filed in accordance with paragraph </w:t>
      </w:r>
      <w:hyperlink r:id="rId100">
        <w:r>
          <w:rPr>
            <w:rStyle w:val="Hyperlink"/>
            <w:rFonts w:ascii="Times New Roman" w:hAnsi="Times New Roman"/>
            <w:b w:val="false"/>
            <w:i w:val="false"/>
            <w:color w:val="000000"/>
            <w:sz w:val="22"/>
          </w:rPr>
          <w:t>20.13(1)</w:t>
        </w:r>
        <w:r>
          <w:rPr>
            <w:rFonts w:ascii="Times New Roman" w:hAnsi="Times New Roman"/>
            <w:b w:val="false"/>
            <w:i/>
            <w:color w:val="000000"/>
            <w:sz w:val="22"/>
          </w:rPr>
          <w:t>“b”</w:t>
        </w:r>
      </w:hyperlink>
      <w:r>
        <w:rPr>
          <w:rFonts w:ascii="Times New Roman" w:hAnsi="Times New Roman"/>
          <w:b w:val="false"/>
          <w:i w:val="false"/>
          <w:color w:val="000000"/>
          <w:sz w:val="22"/>
        </w:rPr>
        <w:t xml:space="preserve"> in the prospective 12-month period.</w:t>
      </w:r>
    </w:p>
    <w:p>
      <w:pPr>
        <w:spacing w:before="0" w:after="0"/>
        <w:ind w:left="120"/>
        <w:jc w:val="both"/>
      </w:pPr>
      <w:r>
        <w:rPr>
          <w:rFonts w:ascii="Times New Roman" w:hAnsi="Times New Roman"/>
          <w:b w:val="false"/>
          <w:i w:val="false"/>
          <w:color w:val="000000"/>
          <w:sz w:val="22"/>
        </w:rPr>
        <w:t>If applicable, the reporting of transportation costs in the procurement plan shall include all known liabilities, including all unit train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to the purchase of fuel. </w:t>
      </w:r>
      <w:r>
        <w:rPr>
          <w:rFonts w:ascii="Times New Roman" w:hAnsi="Times New Roman"/>
          <w:b w:val="false"/>
          <w:i w:val="false"/>
          <w:color w:val="000000"/>
          <w:sz w:val="22"/>
        </w:rPr>
        <w:t xml:space="preserve">The utility shall provide a list and description of all other costs directly related to the purchase of fuels for use in generating electricity not required to be reported by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Compliance plans. </w:t>
      </w:r>
      <w:r>
        <w:rPr>
          <w:rFonts w:ascii="Times New Roman" w:hAnsi="Times New Roman"/>
          <w:b w:val="false"/>
          <w:i w:val="false"/>
          <w:color w:val="000000"/>
          <w:sz w:val="22"/>
        </w:rPr>
        <w:t>Each utility shall file its emissions compliance plan as submitted to the EPA. Revisions to the compliance plan shall be filed with each subsequent procurement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Evidence submitted. </w:t>
      </w:r>
      <w:r>
        <w:rPr>
          <w:rFonts w:ascii="Times New Roman" w:hAnsi="Times New Roman"/>
          <w:b w:val="false"/>
          <w:i w:val="false"/>
          <w:color w:val="000000"/>
          <w:sz w:val="22"/>
        </w:rPr>
        <w:t>Each utility shall submit all factual evidence and written argument in support of its evaluation of the reasonableness and prudence of the utility’s procurement practice decisions in the manner described in its procurement plan. The utility shall file data sufficient to forecast fuel consumption at each generating unit or power plant for the prospective 12-month period. The board may require the submission of machine-readable data for selected computer codes or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Each utility shall file additional information as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proceeding.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12/5/18</w:t>
      </w:r>
      <w:r>
        <w:rPr>
          <w:rFonts w:ascii="Times New Roman" w:hAnsi="Times New Roman"/>
          <w:b w:val="false"/>
          <w:i w:val="false"/>
          <w:color w:val="000000"/>
          <w:sz w:val="22"/>
        </w:rPr>
        <w:t>, effective 1/9/19.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199—20.14</w:t>
      </w:r>
      <w:r>
        <w:rPr>
          <w:rFonts w:ascii="Times New Roman" w:hAnsi="Times New Roman"/>
          <w:b/>
          <w:i w:val="false"/>
          <w:color w:val="000000"/>
          <w:sz w:val="22"/>
        </w:rPr>
        <w:t xml:space="preserve">(476) </w:t>
      </w:r>
      <w:r>
        <w:rPr>
          <w:rFonts w:ascii="Times New Roman" w:hAnsi="Times New Roman"/>
          <w:b/>
          <w:i w:val="false"/>
          <w:color w:val="000000"/>
          <w:sz w:val="22"/>
        </w:rPr>
        <w:t xml:space="preserve">Flexible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subrule is intended to allow electric utility companies to offer, at their option, incentive or discount rates to their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deciding whether to offer a specific discount, the utility shall evaluate the individual customer’s, group’s, or class’s situation and perform a cost-benefit analysis before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discount offered should be such as to significantly affect the customer’s or customers’ decision to stay on the system or to increase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color w:val="000000"/>
          <w:sz w:val="22"/>
        </w:rPr>
        <w:t xml:space="preserve">Tariff requirements. </w:t>
      </w:r>
      <w:r>
        <w:rPr>
          <w:rFonts w:ascii="Times New Roman" w:hAnsi="Times New Roman"/>
          <w:b w:val="false"/>
          <w:i w:val="false"/>
          <w:color w:val="000000"/>
          <w:sz w:val="22"/>
        </w:rPr>
        <w:t>If a company elects to offer flexible rates, the utility shall file for review and approval tariff sheets specifying the general conditions for offering discounted rates. The tariff sheets shall include, at a minimum,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must demonstrate that offering the discount will be more beneficial than not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ceiling for all discounted rates shall be the approved rate on file for the customer’s rate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for the discount rate shall be equal to the energy costs and customer costs of serving the specific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discount shall be offered for a period longer than five years, unless the board determines upon good cause shown that a longer period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Discounts should not be offered if they will encourage deterioration in the load characteristics of the customer receiving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rate-regulated electric utility electing to offer flexible rates shall file annual reports with the board within 30 days of the end of each 12 months. Reports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1 of the report concerns discounts initiated in the last 12 months. For all discounts initiated in the last 12 months,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new customers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of the discount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end-use cost of alternate fuels or energy supplies available to the customer, if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energy and demand components by month of the amount of electricity sold to the customer in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2 of the report relates to overall program evaluation. Amount of electricity refers to both energy and demand components when the customer is billed for both elements. For all discounts currently being offered,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each customer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in the last 12 months to each customer at discounted rates,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to each customer in the same 12 months of the preceding year,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the discount in the last 12 months to each customer,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value of sales to each customer for each of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3 of the report concerns discounts denied or discounts terminated. For all customers specifically evaluated and denied or having a discount terminated in the last 12 months,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identification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to each customer in the same 12 months of the preceding year,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sales to each customer for each of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monthly report is required if the utility had no customers receiving a discount during the relevant period and had no customers which were evaluated for the discount and rejected during the relevant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20.14(5)</w:t>
      </w:r>
      <w:r>
        <w:rPr>
          <w:rFonts w:ascii="Times New Roman" w:hAnsi="Times New Roman"/>
          <w:b w:val="false"/>
          <w:i w:val="false"/>
          <w:color w:val="000000"/>
          <w:sz w:val="22"/>
        </w:rPr>
        <w:t> </w:t>
      </w:r>
      <w:r>
        <w:rPr>
          <w:rFonts w:ascii="Times New Roman" w:hAnsi="Times New Roman"/>
          <w:b w:val="false"/>
          <w:i/>
          <w:color w:val="000000"/>
          <w:sz w:val="22"/>
        </w:rPr>
        <w:t xml:space="preserve">Rate case treatment. </w:t>
      </w:r>
      <w:r>
        <w:rPr>
          <w:rFonts w:ascii="Times New Roman" w:hAnsi="Times New Roman"/>
          <w:b w:val="false"/>
          <w:i w:val="false"/>
          <w:color w:val="000000"/>
          <w:sz w:val="22"/>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were made at full tariffed rates for the customer class. Determining the actual amount will be a factual determination to be made in the rate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199—20.15</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contribution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electric public utility, as defined in Iowa Code sections </w:t>
      </w:r>
      <w:hyperlink r:id="rId101">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104">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utility shall maintain a program plan to assist the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color w:val="000000"/>
          <w:sz w:val="22"/>
        </w:rPr>
        <w:t xml:space="preserve">Program plan.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12/5/18</w:t>
      </w:r>
      <w:r>
        <w:rPr>
          <w:rFonts w:ascii="Times New Roman" w:hAnsi="Times New Roman"/>
          <w:b w:val="false"/>
          <w:i w:val="false"/>
          <w:color w:val="000000"/>
          <w:sz w:val="22"/>
        </w:rPr>
        <w:t>, effective 1/9/19.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utility shall notify all customers of the customer contribution fund at least twice a year. The method of notice which will ensure the most comprehensive notification to the utility’s customers shall be employed. Upon commencement of service and at least once a year, the notice shall be mailed or personally delivered to all customers, or provided by electronic means to those customers who have consented to receiving electronic notices. The other required notice may be published in a local newspaper(s) of general circulation within the utility’s service territory. A utility serving fewer than 6,000 customers may publish its semiannual notices locally in a free newspaper, utility newsletter or shopper’s guide instead of a newspaper. At a minimum,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and the purpose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authorization form. This form shall include a monthly billing option and any other methods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The utility shall provide for contributions as monthly pledges, as well as one-time or periodic contributions. A pledge by a customer or other party shall not be construed to be a binding contract between the utility and the pledger. The pledge amount shall not be subject to delayed payment charges by the utility. Each utility may allow persons or organizations to contribute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20.15(5)</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utility shall file with the board a report of all the customer contribution fund activity for the previous fiscal year beginning July 1 and ending June 30. The report shall be in a form provided by the board and shall contain an accounting of the total revenues collected and all distributions of the fund. The utility shall report all utility expenses directly related to the customer contribution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20.15(6)</w:t>
      </w:r>
      <w:r>
        <w:rPr>
          <w:rFonts w:ascii="Times New Roman" w:hAnsi="Times New Roman"/>
          <w:b w:val="false"/>
          <w:i w:val="false"/>
          <w:color w:val="000000"/>
          <w:sz w:val="22"/>
        </w:rPr>
        <w:t> </w:t>
      </w:r>
      <w:r>
        <w:rPr>
          <w:rFonts w:ascii="Times New Roman" w:hAnsi="Times New Roman"/>
          <w:b w:val="false"/>
          <w:i/>
          <w:color w:val="000000"/>
          <w:sz w:val="22"/>
        </w:rPr>
        <w:t xml:space="preserve">Binding effect.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12/5/18</w:t>
      </w:r>
      <w:r>
        <w:rPr>
          <w:rFonts w:ascii="Times New Roman" w:hAnsi="Times New Roman"/>
          <w:b w:val="false"/>
          <w:i w:val="false"/>
          <w:color w:val="000000"/>
          <w:sz w:val="22"/>
        </w:rPr>
        <w:t>, effective 1/9/19.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199—20.16</w:t>
      </w:r>
      <w:r>
        <w:rPr>
          <w:rFonts w:ascii="Times New Roman" w:hAnsi="Times New Roman"/>
          <w:b/>
          <w:i w:val="false"/>
          <w:color w:val="000000"/>
          <w:sz w:val="22"/>
        </w:rPr>
        <w:t xml:space="preserve">(476) </w:t>
      </w:r>
      <w:r>
        <w:rPr>
          <w:rFonts w:ascii="Times New Roman" w:hAnsi="Times New Roman"/>
          <w:b/>
          <w:i w:val="false"/>
          <w:color w:val="000000"/>
          <w:sz w:val="22"/>
        </w:rPr>
        <w:t xml:space="preserve">Exterior flood lighting.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Newly installed lighting. </w:t>
      </w:r>
      <w:r>
        <w:rPr>
          <w:rFonts w:ascii="Times New Roman" w:hAnsi="Times New Roman"/>
          <w:b w:val="false"/>
          <w:i w:val="false"/>
          <w:color w:val="000000"/>
          <w:sz w:val="22"/>
        </w:rPr>
        <w:t>All newly installed public utility-owned exterior flood lighting shall be solid-state lighting or lighting with equivalent or better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In-service lighting replacement schedule. </w:t>
      </w:r>
      <w:r>
        <w:rPr>
          <w:rFonts w:ascii="Times New Roman" w:hAnsi="Times New Roman"/>
          <w:b w:val="false"/>
          <w:i w:val="false"/>
          <w:color w:val="000000"/>
          <w:sz w:val="22"/>
        </w:rPr>
        <w:t xml:space="preserve">In-service lighting shall be replaced with solid-state lighting or lighting with equivalent or better energy efficiency when worn out due to ballast, lamp, or fixture failure for any other reason, such as vandalism or storm damage. A utility shall file with the board as part of the utility’s annual report required in </w:t>
      </w:r>
      <w:hyperlink r:id="rId105">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a report stating the progress in converting to higher pressure sodium lighting or lighting with equivalent or higher energy efficiency. Information shall be provided as part of the board 24/7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Efficacy standards. </w:t>
      </w:r>
      <w:r>
        <w:rPr>
          <w:rFonts w:ascii="Times New Roman" w:hAnsi="Times New Roman"/>
          <w:b w:val="false"/>
          <w:i w:val="false"/>
          <w:color w:val="000000"/>
          <w:sz w:val="22"/>
        </w:rPr>
        <w:t>Lighting other than solid-state has equivalent or better efficacy if one or more of the following can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fixtures, the mean lumens-per-watt lamp rating is greater than 100;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lighting uses no more energy per installation than comparable, suitably sized solid-state;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lighting luminaries have a mean efficacy rating equal to or greater than 100 lumens per watt according to a Department of Energy (DOE) Lighting Facts label, testing under the DOE Commercially Available LED Product Evaluation and Reporting Program (CALiPER), Design Lights Consortium (DLC) or any other testing agency that follows Illuminating Engineering Society of North America LM-79-08 test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199—20.17</w:t>
      </w:r>
      <w:r>
        <w:rPr>
          <w:rFonts w:ascii="Times New Roman" w:hAnsi="Times New Roman"/>
          <w:b/>
          <w:i w:val="false"/>
          <w:color w:val="000000"/>
          <w:sz w:val="22"/>
        </w:rPr>
        <w:t xml:space="preserve">(476) </w:t>
      </w:r>
      <w:r>
        <w:rPr>
          <w:rFonts w:ascii="Times New Roman" w:hAnsi="Times New Roman"/>
          <w:b/>
          <w:i w:val="false"/>
          <w:color w:val="000000"/>
          <w:sz w:val="22"/>
        </w:rPr>
        <w:t xml:space="preserve">Ratemaking treatment of emission allowances.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This rule applies to all rate-regulated utilities providing electric service in Iowa. Under the Clean Air Act, each electric utility is required to hold sufficient emission allowances to offset emissions at all affected and new units. The acquisition and disposition of emission allowances will be treated for ratemaking purposes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this rule,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“Auction allowances” </w:t>
      </w:r>
      <w:r>
        <w:rPr>
          <w:rFonts w:ascii="Times New Roman" w:hAnsi="Times New Roman"/>
          <w:b w:val="false"/>
          <w:i w:val="false"/>
          <w:color w:val="000000"/>
          <w:sz w:val="22"/>
        </w:rPr>
        <w:t>are allowances acquired or sold through EPA’s annual allowance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“Boot” </w:t>
      </w:r>
      <w:r>
        <w:rPr>
          <w:rFonts w:ascii="Times New Roman" w:hAnsi="Times New Roman"/>
          <w:b w:val="false"/>
          <w:i w:val="false"/>
          <w:color w:val="000000"/>
          <w:sz w:val="22"/>
        </w:rPr>
        <w:t>means something acquired or forfeited to equalize a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sale allowances” </w:t>
      </w:r>
      <w:r>
        <w:rPr>
          <w:rFonts w:ascii="Times New Roman" w:hAnsi="Times New Roman"/>
          <w:b w:val="false"/>
          <w:i w:val="false"/>
          <w:color w:val="000000"/>
          <w:sz w:val="22"/>
        </w:rPr>
        <w:t>are allowances purchased from the EPA in its annual direct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is the amount at which an allowance could reasonably be sold in a transaction between a willing buyer and a willing seller other than in a forced or liquidation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 cost” </w:t>
      </w:r>
      <w:r>
        <w:rPr>
          <w:rFonts w:ascii="Times New Roman" w:hAnsi="Times New Roman"/>
          <w:b w:val="false"/>
          <w:i w:val="false"/>
          <w:color w:val="000000"/>
          <w:sz w:val="22"/>
        </w:rPr>
        <w:t>is the amount of cash or its equivalent paid to acquire an asset, including any direct acquisition expenses. Any commissions paid to brokers shall be considered a direct acquisition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cost” </w:t>
      </w:r>
      <w:r>
        <w:rPr>
          <w:rFonts w:ascii="Times New Roman" w:hAnsi="Times New Roman"/>
          <w:b w:val="false"/>
          <w:i w:val="false"/>
          <w:color w:val="000000"/>
          <w:sz w:val="22"/>
        </w:rPr>
        <w:t>is the historical cost of an asset to the person first devoting the asset to public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“Statutory allowances” </w:t>
      </w:r>
      <w:r>
        <w:rPr>
          <w:rFonts w:ascii="Times New Roman" w:hAnsi="Times New Roman"/>
          <w:b w:val="false"/>
          <w:i w:val="false"/>
          <w:color w:val="000000"/>
          <w:sz w:val="22"/>
        </w:rPr>
        <w:t>are allowances allocated by the EPA at no cost to affected units under the Clean Air Act either through annual allocations as a matter of statutory right and those for which a utility may qualify by using certain compliance options or effective use of conservation and renewables.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for ratemaking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Statutory allowances. Valued at zero cost to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sale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Auction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Purchased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 inventory accounts. </w:t>
      </w:r>
      <w:r>
        <w:rPr>
          <w:rFonts w:ascii="Times New Roman" w:hAnsi="Times New Roman"/>
          <w:b w:val="false"/>
          <w:i w:val="false"/>
          <w:color w:val="000000"/>
          <w:sz w:val="22"/>
        </w:rPr>
        <w:t>Allowance inventory accounts shall be valued at the weighted average cost of all allowances eligible for use during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acquired as part of a package. </w:t>
      </w:r>
      <w:r>
        <w:rPr>
          <w:rFonts w:ascii="Times New Roman" w:hAnsi="Times New Roman"/>
          <w:b w:val="false"/>
          <w:i w:val="false"/>
          <w:color w:val="000000"/>
          <w:sz w:val="22"/>
        </w:rPr>
        <w:t>Allowances acquired as part of a package with equipment, fuel, or electricity shall be valued at their fair market value at the time the allowances were acquired.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acquired through exchanges.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Exchanges without boot. </w:t>
      </w:r>
      <w:r>
        <w:rPr>
          <w:rFonts w:ascii="Times New Roman" w:hAnsi="Times New Roman"/>
          <w:b w:val="false"/>
          <w:i w:val="false"/>
          <w:color w:val="000000"/>
          <w:sz w:val="22"/>
        </w:rPr>
        <w:t>Electric utilities shall value allowances received in exchanges based on the recorded inventory value of the allowances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Exchanges with boot. </w:t>
      </w:r>
      <w:r>
        <w:rPr>
          <w:rFonts w:ascii="Times New Roman" w:hAnsi="Times New Roman"/>
          <w:b w:val="false"/>
          <w:i w:val="false"/>
          <w:color w:val="000000"/>
          <w:sz w:val="22"/>
        </w:rPr>
        <w:t>Electric utilities shall value allowances as the sum of the inventory cost of the allowances given up and the monetary consideration paid in boot for the newly acquired allowances. In determining the historical cost of allowances received, a gain (or loss) shall be recorded to the extent that the amount of boot received exceeds a proportionate share of the recorded weighted average inventory cost of the allowance surrendered. The proportionate share shall be based upon the ratio of the monetary consideration received (i.e., boot) to the total consideration received (monetary consideration plus the fair market value of the allowances received). The historical cost of the allowances received shall be equal to the amount derived by subtracting the difference between the boot received and the gain from the old inventory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transferred among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 utility to a parent or unregulated subsidiary. Allowances shall be transferred at the higher of historical cost or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an unregulated subsidiary or parent to a utility. Allowances shall be transferred at the lesser of original cost or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 utility to an affiliated utility. Allowances shall be transferred at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w:t>
      </w:r>
      <w:r>
        <w:rPr>
          <w:rFonts w:ascii="Times New Roman" w:hAnsi="Times New Roman"/>
          <w:b w:val="false"/>
          <w:i w:val="false"/>
          <w:color w:val="000000"/>
          <w:sz w:val="22"/>
        </w:rPr>
        <w:t> </w:t>
      </w:r>
      <w:r>
        <w:rPr>
          <w:rFonts w:ascii="Times New Roman" w:hAnsi="Times New Roman"/>
          <w:b w:val="false"/>
          <w:i/>
          <w:color w:val="000000"/>
          <w:sz w:val="22"/>
        </w:rPr>
        <w:t xml:space="preserve">Expense recognition and recovery of allowance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Expense recognition. </w:t>
      </w:r>
      <w:r>
        <w:rPr>
          <w:rFonts w:ascii="Times New Roman" w:hAnsi="Times New Roman"/>
          <w:b w:val="false"/>
          <w:i w:val="false"/>
          <w:color w:val="000000"/>
          <w:sz w:val="22"/>
        </w:rPr>
        <w:t>Electric utilities shall charge allowances (including fractional amounts) to expense in the month in which related emissions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Expense recovery. </w:t>
      </w:r>
      <w:r>
        <w:rPr>
          <w:rFonts w:ascii="Times New Roman" w:hAnsi="Times New Roman"/>
          <w:b w:val="false"/>
          <w:i w:val="false"/>
          <w:color w:val="000000"/>
          <w:sz w:val="22"/>
        </w:rPr>
        <w:t xml:space="preserve">The expense associated with allowances used for compliance shall be passed through the energy adjustment as specified in rule </w:t>
      </w:r>
      <w:hyperlink r:id="rId106">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The expense associated with allowances used for compliance shall include expenses associated with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Allowance inventory shortage. </w:t>
      </w:r>
      <w:r>
        <w:rPr>
          <w:rFonts w:ascii="Times New Roman" w:hAnsi="Times New Roman"/>
          <w:b w:val="false"/>
          <w:i w:val="false"/>
          <w:color w:val="000000"/>
          <w:sz w:val="22"/>
        </w:rPr>
        <w:t xml:space="preserve">If a utility emits more emissions in a month than it has allowances in inventory, the utility shall pass the estimated cost of acquiring the needed allowances through the energy adjustment. When the needed allowances are acquired, any difference between the estimated and actual cost of the allowances shall be passed through the energy adjustment as specified in rule </w:t>
      </w:r>
      <w:hyperlink r:id="rId107">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20.17(9)</w:t>
      </w:r>
      <w:r>
        <w:rPr>
          <w:rFonts w:ascii="Times New Roman" w:hAnsi="Times New Roman"/>
          <w:b w:val="false"/>
          <w:i w:val="false"/>
          <w:color w:val="000000"/>
          <w:sz w:val="22"/>
        </w:rPr>
        <w:t> </w:t>
      </w:r>
      <w:r>
        <w:rPr>
          <w:rFonts w:ascii="Times New Roman" w:hAnsi="Times New Roman"/>
          <w:b w:val="false"/>
          <w:i/>
          <w:color w:val="000000"/>
          <w:sz w:val="22"/>
        </w:rPr>
        <w:t xml:space="preserve">Gains/losses from allowance transactions. </w:t>
      </w:r>
      <w:r>
        <w:rPr>
          <w:rFonts w:ascii="Times New Roman" w:hAnsi="Times New Roman"/>
          <w:b w:val="false"/>
          <w:i w:val="false"/>
          <w:color w:val="000000"/>
          <w:sz w:val="22"/>
        </w:rPr>
        <w:t xml:space="preserve">The gains and losses, including net gains and losses, from allowance transactions shall be passed through the energy adjustment as specified in rule </w:t>
      </w:r>
      <w:hyperlink r:id="rId108">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Allowance transactions shall include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w:t>
      </w:r>
      <w:r>
        <w:rPr>
          <w:rFonts w:ascii="Times New Roman" w:hAnsi="Times New Roman"/>
          <w:b w:val="false"/>
          <w:i w:val="false"/>
          <w:color w:val="000000"/>
          <w:sz w:val="22"/>
        </w:rPr>
        <w:t> </w:t>
      </w:r>
      <w:r>
        <w:rPr>
          <w:rFonts w:ascii="Times New Roman" w:hAnsi="Times New Roman"/>
          <w:b w:val="false"/>
          <w:i/>
          <w:color w:val="000000"/>
          <w:sz w:val="22"/>
        </w:rPr>
        <w:t xml:space="preserve">Allowance futures or option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Price hedging. </w:t>
      </w:r>
      <w:r>
        <w:rPr>
          <w:rFonts w:ascii="Times New Roman" w:hAnsi="Times New Roman"/>
          <w:b w:val="false"/>
          <w:i w:val="false"/>
          <w:color w:val="000000"/>
          <w:sz w:val="22"/>
        </w:rPr>
        <w:t>Electric utilities shall defer the costs or benefits from hedging transactions and include such amounts in inventory values when the related allowances are acquired, sold, or otherwise disposed of. Where the costs or benefits of hedging transactions are not identifiable with specific allowances, the amounts shall be included in inventory values when the futures contract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Speculation. </w:t>
      </w:r>
      <w:r>
        <w:rPr>
          <w:rFonts w:ascii="Times New Roman" w:hAnsi="Times New Roman"/>
          <w:b w:val="false"/>
          <w:i w:val="false"/>
          <w:color w:val="000000"/>
          <w:sz w:val="22"/>
        </w:rPr>
        <w:t>Allowance transactions entered into for the purpose of speculation shall not affect allowance inventory pricing.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w:t>
      </w:r>
      <w:r>
        <w:rPr>
          <w:rFonts w:ascii="Times New Roman" w:hAnsi="Times New Roman"/>
          <w:b w:val="false"/>
          <w:i w:val="false"/>
          <w:color w:val="000000"/>
          <w:sz w:val="22"/>
        </w:rPr>
        <w:t> </w:t>
      </w:r>
      <w:r>
        <w:rPr>
          <w:rFonts w:ascii="Times New Roman" w:hAnsi="Times New Roman"/>
          <w:b w:val="false"/>
          <w:i/>
          <w:color w:val="000000"/>
          <w:sz w:val="22"/>
        </w:rPr>
        <w:t xml:space="preserve">Working capital reserve of allowances. </w:t>
      </w:r>
      <w:r>
        <w:rPr>
          <w:rFonts w:ascii="Times New Roman" w:hAnsi="Times New Roman"/>
          <w:b w:val="false"/>
          <w:i w:val="false"/>
          <w:color w:val="000000"/>
          <w:sz w:val="22"/>
        </w:rPr>
        <w:t>A working capital reserve of allowances shall be established in each utility’s rate case proceeding based on the probability of forced outages, fuel quality variability, variability in load growth, nuclear exposure, the price and availability of allowances on the national market, and any other factors that the board deems appropriate. The working capital reserve will earn at the utility’s authorized rate of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w:t>
      </w:r>
      <w:r>
        <w:rPr>
          <w:rFonts w:ascii="Times New Roman" w:hAnsi="Times New Roman"/>
          <w:b w:val="false"/>
          <w:i w:val="false"/>
          <w:color w:val="000000"/>
          <w:sz w:val="22"/>
        </w:rPr>
        <w:t> </w:t>
      </w:r>
      <w:r>
        <w:rPr>
          <w:rFonts w:ascii="Times New Roman" w:hAnsi="Times New Roman"/>
          <w:b w:val="false"/>
          <w:i/>
          <w:color w:val="000000"/>
          <w:sz w:val="22"/>
        </w:rPr>
        <w:t xml:space="preserve">Allowances banked for future use. </w:t>
      </w:r>
      <w:r>
        <w:rPr>
          <w:rFonts w:ascii="Times New Roman" w:hAnsi="Times New Roman"/>
          <w:b w:val="false"/>
          <w:i w:val="false"/>
          <w:color w:val="000000"/>
          <w:sz w:val="22"/>
        </w:rPr>
        <w:t>Allowances banked for future use shall be considered plant held for future use in utility rate proceedings if a definitive plan and schedule for use of the allowances is deemed adequate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20.17(13)</w:t>
      </w:r>
      <w:r>
        <w:rPr>
          <w:rFonts w:ascii="Times New Roman" w:hAnsi="Times New Roman"/>
          <w:b w:val="false"/>
          <w:i w:val="false"/>
          <w:color w:val="000000"/>
          <w:sz w:val="22"/>
        </w:rPr>
        <w:t> </w:t>
      </w:r>
      <w:r>
        <w:rPr>
          <w:rFonts w:ascii="Times New Roman" w:hAnsi="Times New Roman"/>
          <w:b w:val="false"/>
          <w:i/>
          <w:color w:val="000000"/>
          <w:sz w:val="22"/>
        </w:rPr>
        <w:t xml:space="preserve">Prudence of allowance transactions. </w:t>
      </w:r>
      <w:r>
        <w:rPr>
          <w:rFonts w:ascii="Times New Roman" w:hAnsi="Times New Roman"/>
          <w:b w:val="false"/>
          <w:i w:val="false"/>
          <w:color w:val="000000"/>
          <w:sz w:val="22"/>
        </w:rPr>
        <w:t xml:space="preserve">The prudence of allowance transactions shall be determined by the board in the periodic electric energy supply and cost review. The prudency review of allowance transactions and accompanying compliance plans shall be based on information available at the time the options or plans were developed. Costs recovered from ratepayers through the energy adjustment that are deemed imprudent by the board shall be refunded with interest to ratepayers through the energy adjustment as specified in rule </w:t>
      </w:r>
      <w:hyperlink r:id="rId109">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199—20.18</w:t>
      </w:r>
      <w:r>
        <w:rPr>
          <w:rFonts w:ascii="Times New Roman" w:hAnsi="Times New Roman"/>
          <w:b/>
          <w:i w:val="false"/>
          <w:color w:val="000000"/>
          <w:sz w:val="22"/>
        </w:rPr>
        <w:t xml:space="preserve">(476,478) </w:t>
      </w:r>
      <w:r>
        <w:rPr>
          <w:rFonts w:ascii="Times New Roman" w:hAnsi="Times New Roman"/>
          <w:b/>
          <w:i w:val="false"/>
          <w:color w:val="000000"/>
          <w:sz w:val="22"/>
        </w:rPr>
        <w:t xml:space="preserve">Service reliability requirements for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is applicable to investor-owned electric utilities and electric cooperative corporations and associations operating within the state of Iowa subject to Iowa Code chapter </w:t>
      </w:r>
      <w:hyperlink r:id="rId110">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by electric utilities as defined in subrule </w:t>
      </w:r>
      <w:hyperlink r:id="rId111">
        <w:r>
          <w:rPr>
            <w:rStyle w:val="Hyperlink"/>
            <w:rFonts w:ascii="Times New Roman" w:hAnsi="Times New Roman"/>
            <w:b w:val="false"/>
            <w:i w:val="false"/>
            <w:color w:val="000000"/>
            <w:sz w:val="22"/>
          </w:rPr>
          <w:t>20.18(4)</w:t>
        </w:r>
      </w:hyperlink>
      <w:r>
        <w:rPr>
          <w:rFonts w:ascii="Times New Roman" w:hAnsi="Times New Roman"/>
          <w:b w:val="false"/>
          <w:i w:val="false"/>
          <w:color w:val="000000"/>
          <w:sz w:val="22"/>
        </w:rPr>
        <w:t xml:space="preserve"> to the extent provided in Iowa Code chapter </w:t>
      </w:r>
      <w:hyperlink r:id="rId112">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Reliable electric service is of high importance to the health, safety, and welfare of the citizens of Iowa. The purpose of this rule is to establish requirements for assessing the reliability of the transmission and distribution systems and facilities that are under the board’s jurisdiction. This rule establishes reporting requirements to provide consumers, the board, and electric utilities with methodology for monitoring reliability and ensuring quality of electric service within an electric utility’s operating area. This rule provides definitions and requirements for maintenance of interruption data, retention of records, and report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20.18(3)</w:t>
      </w:r>
      <w:r>
        <w:rPr>
          <w:rFonts w:ascii="Times New Roman" w:hAnsi="Times New Roman"/>
          <w:b w:val="false"/>
          <w:i w:val="false"/>
          <w:color w:val="000000"/>
          <w:sz w:val="22"/>
        </w:rPr>
        <w:t> </w:t>
      </w:r>
      <w:r>
        <w:rPr>
          <w:rFonts w:ascii="Times New Roman" w:hAnsi="Times New Roman"/>
          <w:b w:val="false"/>
          <w:i/>
          <w:color w:val="000000"/>
          <w:sz w:val="22"/>
        </w:rPr>
        <w:t xml:space="preserve">General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reasonable efforts to avoid and prevent interruptions of service. However, when interruptions occur, service shall be reestablished within the shortest time practicable, consistent with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utility’s electrical transmission and distribution facilities shall be designed, constructed, maintained, and electrically reinforced and supplemented as required to reliably perform the power delivery burden placed upon them in the storm and traffic hazard environment in which they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carry on an effective preventive maintenance program and shall be capable of emergency repair work on a scale which its storm and traffic damage record indicates as appropriate to its scope of operations and to the physical condition of its transmission and distribution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appraising the reliability of the electric utility’s transmission and distribution system, the board will consider the condition of the physical property and the size, training, supervision, availability, equipment, and mobility of the maintenance forces, all as demonstrated in actual cases of storm and traffic damage to the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keep records of interruptions of service on its primary distribution system and shall make an analysis of the records for the purpose of determining steps to be taken to prevent recurrence of such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reasonable efforts to reduce the risk of future interruptions by taking into account the age, condition, design, and performance of transmission and distribution facilities and providing adequate investment in the maintenance, repair, replacement, and upgrade of facilities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electric utility unable to comply with applicable provisions of this rule may file a waiver request pursuant to rule </w:t>
      </w:r>
      <w:hyperlink r:id="rId113">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Terms and formulas when used in this rule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(1) any person, firm, association, or corporation, (2) any agency of the federal, state, or local government, or (3) any legal entity responsible by law for payment of the electric service from the electric utility which has a separately metered electrical service point for which a bill is provided. Electrical service point means the point of connection between the electric utility’s equipment and the customer’s equipment. Each meter equals one customer. Retail customers are end-use customers who purchase and ultimately consume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average interruption duration index (CAIDI)” </w:t>
      </w:r>
      <w:r>
        <w:rPr>
          <w:rFonts w:ascii="Times New Roman" w:hAnsi="Times New Roman"/>
          <w:b w:val="false"/>
          <w:i w:val="false"/>
          <w:color w:val="000000"/>
          <w:sz w:val="22"/>
        </w:rPr>
        <w:t>means the average interruption duration for those customers who experience interruptions during the year. It is calculated by dividing the annual sum of all customer interruption durations by the total number of customer interruptions.</w:t>
      </w:r>
    </w:p>
    <w:tbl>
      <w:tblPr>
        <w:tblW w:w="5000" w:type="pct"/>
        <w:tblCellSpacing w:w="0" w:type="auto"/>
        <w:tblBorders>
          <w:top w:val="none"/>
          <w:left w:val="none"/>
          <w:bottom w:val="none"/>
          <w:right w:val="none"/>
          <w:insideH w:val="none"/>
          <w:insideV w:val="none"/>
        </w:tblBorders>
        <w:tblLayout w:type="fixed"/>
      </w:tblPr>
      <w:tblGrid>
        <w:gridCol w:w="1674"/>
        <w:gridCol w:w="1336"/>
        <w:gridCol w:w="8180"/>
      </w:tblGrid>
      <w:tr>
        <w:trPr>
          <w:trHeight w:val="225" w:hRule="atLeast"/>
        </w:trPr>
        <w:tc>
          <w:tcPr>
            <w:tcW w:w="167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CAIDI</w:t>
            </w:r>
          </w:p>
        </w:tc>
        <w:tc>
          <w:tcPr>
            <w:tcW w:w="13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818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Sum of All Customer Interruption Durations</w:t>
            </w:r>
          </w:p>
        </w:tc>
      </w:tr>
      <w:tr>
        <w:trPr>
          <w:trHeight w:val="225" w:hRule="atLeast"/>
        </w:trPr>
        <w:tc>
          <w:tcPr>
            <w:tcW w:w="0" w:type="auto"/>
            <w:vMerge/>
            <w:tcBorders>
              <w:top w:val="nil"/>
            </w:tcBorders>
          </w:tcPr>
          <w:p/>
        </w:tc>
        <w:tc>
          <w:tcPr>
            <w:tcW w:w="0" w:type="auto"/>
            <w:vMerge/>
            <w:tcBorders>
              <w:top w:val="nil"/>
            </w:tcBorders>
          </w:tcPr>
          <w:p/>
        </w:tc>
        <w:tc>
          <w:tcPr>
            <w:tcW w:w="81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Total Number of Customer Interruptions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system” </w:t>
      </w:r>
      <w:r>
        <w:rPr>
          <w:rFonts w:ascii="Times New Roman" w:hAnsi="Times New Roman"/>
          <w:b w:val="false"/>
          <w:i w:val="false"/>
          <w:color w:val="000000"/>
          <w:sz w:val="22"/>
        </w:rPr>
        <w:t>means that part of the electric system owned or operated by an electric utility and designed to operate at a nominal voltage of 25,000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utility” </w:t>
      </w:r>
      <w:r>
        <w:rPr>
          <w:rFonts w:ascii="Times New Roman" w:hAnsi="Times New Roman"/>
          <w:b w:val="false"/>
          <w:i w:val="false"/>
          <w:color w:val="000000"/>
          <w:sz w:val="22"/>
        </w:rPr>
        <w:t>means investor-owned electric utilities and electric cooperative corporations and associations owning, controlling, operating, or using transmission and distribution facilities and equipment subject to the board’s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“GIS” </w:t>
      </w:r>
      <w:r>
        <w:rPr>
          <w:rFonts w:ascii="Times New Roman" w:hAnsi="Times New Roman"/>
          <w:b w:val="false"/>
          <w:i w:val="false"/>
          <w:color w:val="000000"/>
          <w:sz w:val="22"/>
        </w:rPr>
        <w:t>means a geospatial information system. This is an information management framework that allows the integration of various data and geospatial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“Interrupting device” </w:t>
      </w:r>
      <w:r>
        <w:rPr>
          <w:rFonts w:ascii="Times New Roman" w:hAnsi="Times New Roman"/>
          <w:b w:val="false"/>
          <w:i w:val="false"/>
          <w:color w:val="000000"/>
          <w:sz w:val="22"/>
        </w:rPr>
        <w:t>means a device capable of being reclosed whose purpose is to interrupt faults and restore service or disconnect loads. These devices can be manual, automatic, or motor-operated. Examples may include transmission breakers, feeder breakers, line reclosers, motor-operated switches, fuses,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w:t>
      </w:r>
      <w:r>
        <w:rPr>
          <w:rFonts w:ascii="Times New Roman" w:hAnsi="Times New Roman"/>
          <w:b w:val="false"/>
          <w:i w:val="false"/>
          <w:color w:val="000000"/>
          <w:sz w:val="22"/>
        </w:rPr>
        <w:t>means a loss of service to one or more customers or other facilities and is the result of one or more component outages. The types of interruption include momentary event, sustained, and scheduled. The following interruption causes shall not be included in the calculation of the reliability indices: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Interruptions intentionally initiated pursuant to the provisions of an interruptible service tariff or contract and affecting only those customers taking electric service under such tariff or contract;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Interruptions due to nonpayment of a bill;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Interruptions due to tampering with service 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Interruptions due to denied access to service equipment located on the affected customer’s private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Interruptions due to hazardous conditions located on the affected customer’s private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Interruptions due to a request by the affected customer;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Interruptions due to a request by a law enforcement agency, fire department, other governmental agency responsible for public welfare, or any agency or authority responsible for bulk power system security;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Interruptions caused by the failure of a customer’s equipment; the operation of a customer’s equipment in a manner inconsistent with law, an approved tariff, rule, regulation, or an agreement between the customer and the electric utility; or the failure of a customer to take a required action that would have avoided the interruption, such as failing to notify the company of an increase in load when required to do so by a tariff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duration” </w:t>
      </w:r>
      <w:r>
        <w:rPr>
          <w:rFonts w:ascii="Times New Roman" w:hAnsi="Times New Roman"/>
          <w:b w:val="false"/>
          <w:i w:val="false"/>
          <w:color w:val="000000"/>
          <w:sz w:val="22"/>
        </w:rPr>
        <w:t>as used herein in regard to sustained outages means a period of time measured in one-minute increments that starts when an electric utility is notified or becomes aware of an interruption and ends when an electric utility restores electric service. Durations of less than five minutes shall not be reported in sustained outages.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momentary” </w:t>
      </w:r>
      <w:r>
        <w:rPr>
          <w:rFonts w:ascii="Times New Roman" w:hAnsi="Times New Roman"/>
          <w:b w:val="false"/>
          <w:i w:val="false"/>
          <w:color w:val="000000"/>
          <w:sz w:val="22"/>
        </w:rPr>
        <w:t>means single operation of an interrupting device that results in a voltage of zero. For example, two breaker or recloser operations equals two momentary interruptions. A momentary interruption is one in which power is restored automatically.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momentary event” </w:t>
      </w:r>
      <w:r>
        <w:rPr>
          <w:rFonts w:ascii="Times New Roman" w:hAnsi="Times New Roman"/>
          <w:b w:val="false"/>
          <w:i w:val="false"/>
          <w:color w:val="000000"/>
          <w:sz w:val="22"/>
        </w:rPr>
        <w:t>means an interruption of electric service to one or more customers of duration limited to the period required to restore service by an interrupting device. Note: Such switching operations must be completed in a specified time not to exceed five minutes. This definition includes all reclosing operations that occur within five minutes of the first interruption. For example, if a recloser or breaker operates two, three, or four times and then holds, the event shall be considered one momentary event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scheduled” </w:t>
      </w:r>
      <w:r>
        <w:rPr>
          <w:rFonts w:ascii="Times New Roman" w:hAnsi="Times New Roman"/>
          <w:b w:val="false"/>
          <w:i w:val="false"/>
          <w:color w:val="000000"/>
          <w:sz w:val="22"/>
        </w:rPr>
        <w:t>means an interruption of electric power that results when a transmission or distribution component is deliberately taken out of service at a selected time, usually for the purposes of construction, preventive maintenance, or repair. If it is possible to defer the interruption, the interruption is considered a scheduled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sustained” </w:t>
      </w:r>
      <w:r>
        <w:rPr>
          <w:rFonts w:ascii="Times New Roman" w:hAnsi="Times New Roman"/>
          <w:b w:val="false"/>
          <w:i w:val="false"/>
          <w:color w:val="000000"/>
          <w:sz w:val="22"/>
        </w:rPr>
        <w:t>means any interruption not classified as a momentary event interruption. It is an interruption of electric service that is not automatically or instantaneously restored, with duration of greater than five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“Loss of service” </w:t>
      </w:r>
      <w:r>
        <w:rPr>
          <w:rFonts w:ascii="Times New Roman" w:hAnsi="Times New Roman"/>
          <w:b w:val="false"/>
          <w:i w:val="false"/>
          <w:color w:val="000000"/>
          <w:sz w:val="22"/>
        </w:rPr>
        <w:t>means the loss of electrical power, a complete loss of voltage, to one or more customers. This does not include any of the power quality issues such as sags, swells, impulses, or harmonics. Also see definition of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event” </w:t>
      </w:r>
      <w:r>
        <w:rPr>
          <w:rFonts w:ascii="Times New Roman" w:hAnsi="Times New Roman"/>
          <w:b w:val="false"/>
          <w:i w:val="false"/>
          <w:color w:val="000000"/>
          <w:sz w:val="22"/>
        </w:rPr>
        <w:t>will be declared whenever extensive physical damage to transmission and distribution facilities has occurred within an electric utility’s operating area due to unusually severe and abnormal weather or event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Wind speed exceeds 90 mph for the affected area,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One-half inch of ice is present and wind speed exceeds 40 mph for the affected area,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Ten percent of the affected area total customer count is incurring a loss of service for a length of time to exceed five hours,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20,000 customers in a metropolitan area are incurring a loss of service for a length of time to exceed five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“Metropolitan area” </w:t>
      </w:r>
      <w:r>
        <w:rPr>
          <w:rFonts w:ascii="Times New Roman" w:hAnsi="Times New Roman"/>
          <w:b w:val="false"/>
          <w:i w:val="false"/>
          <w:color w:val="000000"/>
          <w:sz w:val="22"/>
        </w:rPr>
        <w:t>means any community, or group of contiguous communities, with a population of 20,000 individuals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“Momentary average interruption frequency index (MAIFI)” </w:t>
      </w:r>
      <w:r>
        <w:rPr>
          <w:rFonts w:ascii="Times New Roman" w:hAnsi="Times New Roman"/>
          <w:b w:val="false"/>
          <w:i w:val="false"/>
          <w:color w:val="000000"/>
          <w:sz w:val="22"/>
        </w:rPr>
        <w:t>means the average number of momentary electric service interruptions for each customer during the year. It is calculated by dividing the total number of customer momentary interruptions by the total number of customers served.</w:t>
      </w:r>
    </w:p>
    <w:tbl>
      <w:tblPr>
        <w:tblW w:w="5000" w:type="pct"/>
        <w:tblCellSpacing w:w="0" w:type="auto"/>
        <w:tblBorders>
          <w:top w:val="none"/>
          <w:left w:val="none"/>
          <w:bottom w:val="none"/>
          <w:right w:val="none"/>
          <w:insideH w:val="none"/>
          <w:insideV w:val="none"/>
        </w:tblBorders>
        <w:tblLayout w:type="fixed"/>
      </w:tblPr>
      <w:tblGrid>
        <w:gridCol w:w="2934"/>
        <w:gridCol w:w="2539"/>
        <w:gridCol w:w="5717"/>
      </w:tblGrid>
      <w:tr>
        <w:trPr>
          <w:trHeight w:val="390" w:hRule="atLeast"/>
        </w:trPr>
        <w:tc>
          <w:tcPr>
            <w:tcW w:w="293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MAIFI</w:t>
            </w:r>
          </w:p>
        </w:tc>
        <w:tc>
          <w:tcPr>
            <w:tcW w:w="253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17" w:type="dxa"/>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 xml:space="preserve">Total Number of Customer </w:t>
            </w:r>
          </w:p>
          <w:p>
            <w:pPr>
              <w:spacing w:before="0" w:after="0"/>
              <w:ind w:left="160"/>
              <w:jc w:val="center"/>
            </w:pPr>
            <w:r>
              <w:rPr>
                <w:rFonts w:ascii="Times New Roman" w:hAnsi="Times New Roman"/>
                <w:b w:val="false"/>
                <w:i w:val="false"/>
                <w:color w:val="000000"/>
                <w:sz w:val="16"/>
              </w:rPr>
              <w:t>Momentary Interruptions</w:t>
            </w:r>
          </w:p>
        </w:tc>
      </w:tr>
      <w:tr>
        <w:trPr>
          <w:trHeight w:val="390" w:hRule="atLeast"/>
        </w:trPr>
        <w:tc>
          <w:tcPr>
            <w:tcW w:w="0" w:type="auto"/>
            <w:vMerge/>
            <w:tcBorders>
              <w:top w:val="nil"/>
            </w:tcBorders>
          </w:tcPr>
          <w:p/>
        </w:tc>
        <w:tc>
          <w:tcPr>
            <w:tcW w:w="0" w:type="auto"/>
            <w:vMerge/>
            <w:tcBorders>
              <w:top w:val="nil"/>
            </w:tcBorders>
          </w:tcPr>
          <w:p/>
        </w:tc>
        <w:tc>
          <w:tcPr>
            <w:tcW w:w="5717"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Total Number of Customers</w:t>
            </w:r>
          </w:p>
          <w:p>
            <w:pPr>
              <w:spacing w:before="0" w:after="0"/>
              <w:ind w:left="160"/>
              <w:jc w:val="center"/>
            </w:pPr>
            <w:r>
              <w:rPr>
                <w:rFonts w:ascii="Times New Roman" w:hAnsi="Times New Roman"/>
                <w:b w:val="false"/>
                <w:i w:val="false"/>
                <w:color w:val="000000"/>
                <w:sz w:val="16"/>
              </w:rPr>
              <w:t>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“OMS” </w:t>
      </w:r>
      <w:r>
        <w:rPr>
          <w:rFonts w:ascii="Times New Roman" w:hAnsi="Times New Roman"/>
          <w:b w:val="false"/>
          <w:i w:val="false"/>
          <w:color w:val="000000"/>
          <w:sz w:val="22"/>
        </w:rPr>
        <w:t>is a computerized outage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area” </w:t>
      </w:r>
      <w:r>
        <w:rPr>
          <w:rFonts w:ascii="Times New Roman" w:hAnsi="Times New Roman"/>
          <w:b w:val="false"/>
          <w:i w:val="false"/>
          <w:color w:val="000000"/>
          <w:sz w:val="22"/>
        </w:rPr>
        <w:t>means a geographical area defined by the electric utility that is a distinct area for administration, operation, or data collection with respect to the facilities serving, or the service provided within, the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“Outage” </w:t>
      </w:r>
      <w:r>
        <w:rPr>
          <w:rFonts w:ascii="Times New Roman" w:hAnsi="Times New Roman"/>
          <w:b w:val="false"/>
          <w:i w:val="false"/>
          <w:color w:val="000000"/>
          <w:sz w:val="22"/>
        </w:rPr>
        <w:t>means the state of a component when it is not available to perform its intended function due to some event directly associated with that component. An outage may or may not cause an interruption of service to customers, depending on system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quality” </w:t>
      </w:r>
      <w:r>
        <w:rPr>
          <w:rFonts w:ascii="Times New Roman" w:hAnsi="Times New Roman"/>
          <w:b w:val="false"/>
          <w:i w:val="false"/>
          <w:color w:val="000000"/>
          <w:sz w:val="22"/>
        </w:rPr>
        <w:t>means the characteristics of electric power received by the customer, with the exception of sustained interruptions and momentary event interruptions. Characteristics of electric power that detract from its quality include waveform irregularities and voltage variations, either prolonged or transient. Power quality problems shall include, but are not limited to, disturbances such as high or low voltage, voltage spikes and transients, flickers and voltage sags, surges and short-time overvoltages, as well as harmonics and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circuit” </w:t>
      </w:r>
      <w:r>
        <w:rPr>
          <w:rFonts w:ascii="Times New Roman" w:hAnsi="Times New Roman"/>
          <w:b w:val="false"/>
          <w:i w:val="false"/>
          <w:color w:val="000000"/>
          <w:sz w:val="22"/>
        </w:rPr>
        <w:t>means a circuit not defined as an urban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average interruption duration index (SAIDI)” </w:t>
      </w:r>
      <w:r>
        <w:rPr>
          <w:rFonts w:ascii="Times New Roman" w:hAnsi="Times New Roman"/>
          <w:b w:val="false"/>
          <w:i w:val="false"/>
          <w:color w:val="000000"/>
          <w:sz w:val="22"/>
        </w:rPr>
        <w:t>means the average interruption duration per customer served during the year. It is calculated by dividing the sum of the customer interruption durations by the total number of customers served during the year.</w:t>
      </w:r>
    </w:p>
    <w:tbl>
      <w:tblPr>
        <w:tblW w:w="5000" w:type="pct"/>
        <w:tblCellSpacing w:w="0" w:type="auto"/>
        <w:tblBorders>
          <w:top w:val="none"/>
          <w:left w:val="none"/>
          <w:bottom w:val="none"/>
          <w:right w:val="none"/>
          <w:insideH w:val="none"/>
          <w:insideV w:val="none"/>
        </w:tblBorders>
        <w:tblLayout w:type="fixed"/>
      </w:tblPr>
      <w:tblGrid>
        <w:gridCol w:w="2498"/>
        <w:gridCol w:w="2101"/>
        <w:gridCol w:w="6591"/>
      </w:tblGrid>
      <w:tr>
        <w:trPr>
          <w:trHeight w:val="225" w:hRule="atLeast"/>
        </w:trPr>
        <w:tc>
          <w:tcPr>
            <w:tcW w:w="249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SAIDI</w:t>
            </w:r>
          </w:p>
        </w:tc>
        <w:tc>
          <w:tcPr>
            <w:tcW w:w="210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591"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Sum of All Customer Interruption Durations</w:t>
            </w:r>
          </w:p>
        </w:tc>
      </w:tr>
      <w:tr>
        <w:trPr>
          <w:trHeight w:val="225" w:hRule="atLeast"/>
        </w:trPr>
        <w:tc>
          <w:tcPr>
            <w:tcW w:w="0" w:type="auto"/>
            <w:vMerge/>
            <w:tcBorders>
              <w:top w:val="nil"/>
            </w:tcBorders>
          </w:tcPr>
          <w:p/>
        </w:tc>
        <w:tc>
          <w:tcPr>
            <w:tcW w:w="0" w:type="auto"/>
            <w:vMerge/>
            <w:tcBorders>
              <w:top w:val="nil"/>
            </w:tcBorders>
          </w:tcPr>
          <w:p/>
        </w:tc>
        <w:tc>
          <w:tcPr>
            <w:tcW w:w="6591"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average interruption frequency index (SAIFI)” </w:t>
      </w:r>
      <w:r>
        <w:rPr>
          <w:rFonts w:ascii="Times New Roman" w:hAnsi="Times New Roman"/>
          <w:b w:val="false"/>
          <w:i w:val="false"/>
          <w:color w:val="000000"/>
          <w:sz w:val="22"/>
        </w:rPr>
        <w:t>means the average number of interruptions per customer during the year. It is calculated by dividing the total annual number of customer interruptions by the total number of customers served during the year.</w:t>
      </w:r>
    </w:p>
    <w:tbl>
      <w:tblPr>
        <w:tblW w:w="5000" w:type="pct"/>
        <w:tblCellSpacing w:w="0" w:type="auto"/>
        <w:tblBorders>
          <w:top w:val="none"/>
          <w:left w:val="none"/>
          <w:bottom w:val="none"/>
          <w:right w:val="none"/>
          <w:insideH w:val="none"/>
          <w:insideV w:val="none"/>
        </w:tblBorders>
        <w:tblLayout w:type="fixed"/>
      </w:tblPr>
      <w:tblGrid>
        <w:gridCol w:w="2504"/>
        <w:gridCol w:w="2223"/>
        <w:gridCol w:w="6463"/>
      </w:tblGrid>
      <w:tr>
        <w:trPr>
          <w:trHeight w:val="225" w:hRule="atLeast"/>
        </w:trPr>
        <w:tc>
          <w:tcPr>
            <w:tcW w:w="250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SAIFI</w:t>
            </w:r>
          </w:p>
        </w:tc>
        <w:tc>
          <w:tcPr>
            <w:tcW w:w="2223"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46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Total Number of Customer Interruptions</w:t>
            </w:r>
          </w:p>
        </w:tc>
      </w:tr>
      <w:tr>
        <w:trPr>
          <w:trHeight w:val="225" w:hRule="atLeast"/>
        </w:trPr>
        <w:tc>
          <w:tcPr>
            <w:tcW w:w="0" w:type="auto"/>
            <w:vMerge/>
            <w:tcBorders>
              <w:top w:val="nil"/>
            </w:tcBorders>
          </w:tcPr>
          <w:p/>
        </w:tc>
        <w:tc>
          <w:tcPr>
            <w:tcW w:w="0" w:type="auto"/>
            <w:vMerge/>
            <w:tcBorders>
              <w:top w:val="nil"/>
            </w:tcBorders>
          </w:tcPr>
          <w:p/>
        </w:tc>
        <w:tc>
          <w:tcPr>
            <w:tcW w:w="646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number of customers served” </w:t>
      </w:r>
      <w:r>
        <w:rPr>
          <w:rFonts w:ascii="Times New Roman" w:hAnsi="Times New Roman"/>
          <w:b w:val="false"/>
          <w:i w:val="false"/>
          <w:color w:val="000000"/>
          <w:sz w:val="22"/>
        </w:rPr>
        <w:t>means the total number of customers served on the last day of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circuit” </w:t>
      </w:r>
      <w:r>
        <w:rPr>
          <w:rFonts w:ascii="Times New Roman" w:hAnsi="Times New Roman"/>
          <w:b w:val="false"/>
          <w:i w:val="false"/>
          <w:color w:val="000000"/>
          <w:sz w:val="22"/>
        </w:rPr>
        <w:t>means a circuit where both 75 percent or more of its customers and 75 percent or more of its primary circuit miles are located within a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for electric utilities with over 50,000 Iowa retail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maintain a geospatial information system (GIS) and an outage management system (OMS) sufficient to determine a history of sustained electric service interruptions experienced by each customer. The OMS shall have the ability to access data for each customer in order to determine a history of electric service interruptions. Data shall be sortable by each of, and in any combination with,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jurisdiction;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Operating area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Substation;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Circuit;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Number of interruptions in reporting period;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Number of hours of interruptions in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on interruptions shall be sufficient to determine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Starting date and time the utility became aware of the interruption;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Duration of the interruption;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and time service was restored;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Number of customers affected;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Description of the cause of the interruption;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Operating areas affected;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Circuit number(s) of the distribution circuit(s) affected;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Service account number or other unique identifier of each customer affected;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Address of each affected customer location;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Weather conditions at time of interruption;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System component(s) involved (e.g., transmission line, substation, overhead primary main, underground primary main, transformer); and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interruption was planned or unplanned.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maintain as much information as feasible on momentary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keep information on cause codes, weather codes, isolating device codes, and equipment failed codes.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minimum interruption cause code set should include: animals, lightning, major event, scheduled, trees, overload, error, supply, equipment, other, unknown, and earthquake.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minimum interruption weather code set should include: wind, lightning, heat, ice/snow, rain, clear day, and tornado/hurricane.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minimum interruption isolating device set should include: breaker, recloser, fuse, sectionalizer, switch, and elbow.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minimum interruption equipment failed code set should include: cable, transformer, conductor, splice, lightning arrester, switches, cross arm, pole, insulator, connector, other, and unknown.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Utilities may augment the code sets listed above to enhance tracking.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shall retain for seven years the records required by </w:t>
      </w:r>
      <w:hyperlink r:id="rId114">
        <w:r>
          <w:rPr>
            <w:rStyle w:val="Hyperlink"/>
            <w:rFonts w:ascii="Times New Roman" w:hAnsi="Times New Roman"/>
            <w:b w:val="false"/>
            <w:i w:val="false"/>
            <w:color w:val="000000"/>
            <w:sz w:val="22"/>
          </w:rPr>
          <w:t>20.18(5)</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record the date of installation of major facilities (poles, conductors, cable, and transformers) installed on or after April 1, 2003, and integrate that data into its GIS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for all other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 utility, other than those providing only wholesale electric service, shall record and maintain sufficient records and reports that will enable it to calculate for the most recent seven-year period the average annual hours of interruption per customer due to causes in each of the following four major categories: power supplier, major storm, scheduled, and all other. Those electric utilities that provide only wholesale electric service shall provide their wholesale customers with the information necessary to allow those customers to ascertain the cause of power supply-related outages.</w:t>
      </w:r>
    </w:p>
    <w:p>
      <w:pPr>
        <w:spacing w:before="0" w:after="0"/>
        <w:ind w:left="120"/>
        <w:jc w:val="both"/>
      </w:pPr>
      <w:r>
        <w:rPr>
          <w:rFonts w:ascii="Times New Roman" w:hAnsi="Times New Roman"/>
          <w:b w:val="false"/>
          <w:i w:val="false"/>
          <w:color w:val="000000"/>
          <w:sz w:val="22"/>
        </w:rPr>
        <w:t>The category “scheduled” refers to interruptions resulting when a distribution transformer, line, or owned substation is deliberately taken out of service at a selected time for maintenance or other reasons.</w:t>
      </w:r>
    </w:p>
    <w:p>
      <w:pPr>
        <w:spacing w:before="0" w:after="0"/>
        <w:ind w:left="120"/>
        <w:jc w:val="both"/>
      </w:pPr>
      <w:r>
        <w:rPr>
          <w:rFonts w:ascii="Times New Roman" w:hAnsi="Times New Roman"/>
          <w:b w:val="false"/>
          <w:i w:val="false"/>
          <w:color w:val="000000"/>
          <w:sz w:val="22"/>
        </w:rPr>
        <w:t>The interruptions resulting from either scheduled or unscheduled outages on lines or substations owned by the power supplier are to be accounted for in the “power supplier” category.</w:t>
      </w:r>
    </w:p>
    <w:p>
      <w:pPr>
        <w:spacing w:before="0" w:after="0"/>
        <w:ind w:left="120"/>
        <w:jc w:val="both"/>
      </w:pPr>
      <w:r>
        <w:rPr>
          <w:rFonts w:ascii="Times New Roman" w:hAnsi="Times New Roman"/>
          <w:b w:val="false"/>
          <w:i w:val="false"/>
          <w:color w:val="000000"/>
          <w:sz w:val="22"/>
        </w:rPr>
        <w:t>The category “major storm” represents service interruptions from conditions that cause many concurrent outages because of snow, ice, or wind loads that exceed design assumptions for the lines.</w:t>
      </w:r>
    </w:p>
    <w:p>
      <w:pPr>
        <w:spacing w:before="0" w:after="0"/>
        <w:ind w:left="120"/>
        <w:jc w:val="both"/>
      </w:pPr>
      <w:r>
        <w:rPr>
          <w:rFonts w:ascii="Times New Roman" w:hAnsi="Times New Roman"/>
          <w:b w:val="false"/>
          <w:i w:val="false"/>
          <w:color w:val="000000"/>
          <w:sz w:val="22"/>
        </w:rPr>
        <w:t>The “all other” category includes outages primarily resulting from emergency conditions due to equipment breakdown, malfunction, or human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recording interruptions, each electric utility, other than those providing only wholesale electric service, shall use detailed standard codes for interruption analysis recommended by the United States Department of Agriculture, Rural Utilities Service (RUS) Bulletin 1730A-119, Tables 1 and 2, including the major cause categories of equipment or installation, age or deterioration, weather, birds or animals, member (or public), and unknown. The utility shall also include the subcategories recommended by RUS for each of these major cause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electric utility, other than those providing only wholesale electric service, shall also maintain and record data sufficient to enable it to compute systemwide calculated indices for SAIFI-, SAIDI-, and CAIDI-type measurements, once with the data associated with “major storms” and once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its records of customer interruptions available to the board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major events. </w:t>
      </w:r>
      <w:r>
        <w:rPr>
          <w:rFonts w:ascii="Times New Roman" w:hAnsi="Times New Roman"/>
          <w:b w:val="false"/>
          <w:i w:val="false"/>
          <w:color w:val="000000"/>
          <w:sz w:val="22"/>
        </w:rPr>
        <w:t xml:space="preserve">Notification of major events as defined in subrule </w:t>
      </w:r>
      <w:hyperlink r:id="rId115">
        <w:r>
          <w:rPr>
            <w:rStyle w:val="Hyperlink"/>
            <w:rFonts w:ascii="Times New Roman" w:hAnsi="Times New Roman"/>
            <w:b w:val="false"/>
            <w:i w:val="false"/>
            <w:color w:val="000000"/>
            <w:sz w:val="22"/>
          </w:rPr>
          <w:t>20.18(4)</w:t>
        </w:r>
      </w:hyperlink>
      <w:r>
        <w:rPr>
          <w:rFonts w:ascii="Times New Roman" w:hAnsi="Times New Roman"/>
          <w:b w:val="false"/>
          <w:i w:val="false"/>
          <w:color w:val="000000"/>
          <w:sz w:val="22"/>
        </w:rPr>
        <w:t xml:space="preserve"> shall comply with the requirements of rule </w:t>
      </w:r>
      <w:hyperlink r:id="rId116">
        <w:r>
          <w:rPr>
            <w:rStyle w:val="Hyperlink"/>
            <w:rFonts w:ascii="Times New Roman" w:hAnsi="Times New Roman"/>
            <w:b w:val="false"/>
            <w:i w:val="false"/>
            <w:color w:val="000000"/>
            <w:sz w:val="22"/>
          </w:rPr>
          <w:t>199—20.19</w:t>
        </w:r>
      </w:hyperlink>
      <w:r>
        <w:rPr>
          <w:rFonts w:ascii="Times New Roman" w:hAnsi="Times New Roman"/>
          <w:b w:val="false"/>
          <w:i w:val="false"/>
          <w:color w:val="000000"/>
          <w:sz w:val="22"/>
        </w:rPr>
        <w:t>(476,478).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20.18(7)</w:t>
      </w:r>
      <w:r>
        <w:rPr>
          <w:rFonts w:ascii="Times New Roman" w:hAnsi="Times New Roman"/>
          <w:b w:val="false"/>
          <w:i w:val="false"/>
          <w:color w:val="000000"/>
          <w:sz w:val="22"/>
        </w:rPr>
        <w:t> </w:t>
      </w:r>
      <w:r>
        <w:rPr>
          <w:rFonts w:ascii="Times New Roman" w:hAnsi="Times New Roman"/>
          <w:b w:val="false"/>
          <w:i/>
          <w:color w:val="000000"/>
          <w:sz w:val="22"/>
        </w:rPr>
        <w:t xml:space="preserve">Annual reliability and service quality report for utilities with more than 50,000 Iowa retail customers. </w:t>
      </w:r>
      <w:r>
        <w:rPr>
          <w:rFonts w:ascii="Times New Roman" w:hAnsi="Times New Roman"/>
          <w:b w:val="false"/>
          <w:i w:val="false"/>
          <w:color w:val="000000"/>
          <w:sz w:val="22"/>
        </w:rPr>
        <w:t>Each electric utility with over 50,000 Iowa retail customers shall submit to the board on or before May 1 of each year an annual reliability report for the previous calendar year for the Iowa jurisdiction. The report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service area. </w:t>
      </w:r>
      <w:r>
        <w:rPr>
          <w:rFonts w:ascii="Times New Roman" w:hAnsi="Times New Roman"/>
          <w:b w:val="false"/>
          <w:i w:val="false"/>
          <w:color w:val="000000"/>
          <w:sz w:val="22"/>
        </w:rPr>
        <w:t>Urban and rural Iowa service territory customer count, Iowa operating area customer count, if applicable, and major communities served within each operating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System reliability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overall assessment of the reliability performance, including the urban and rural SAIFI, SAIDI, and CAIDI reliability indices for the previous calendar year for the Iowa service territory and each defined Iowa operating area, if applicable. This assessment shall include outages at the substation, transmission, and generation levels of the system that directly result in sustained interruptions to customers on the distribution system. These indices shall be calculated twice, once with the data associated with major events and once without. This assessment should contain tabular and graphical presentations of the trend for each index as well as the trends of the major causes of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urban and rural SAIFI, SAIDI, and CAIDI reliability average indices for the previous five calendar years for the Iowa service territory and each defined Iowa operating area, if applicable. The reliability average indices shall include outages at the substation, transmission, and generation levels of the system that directly result in sustained interruptions to customers on the distribution system. Calculation of the five-year average shall start with data from the year covered by the first Annual Reliability Report submittal so that by the fifth Annual Reliability Report submittal a complete five-year average shall be available. These indices shall be calculated twice, once with the data associated with major events and once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MAIFI reliability indices for the previous five calendar years for the Iowa service territory and each defined Iowa operating area for which momentary interruptions are tracked. The first annual report should specify which portions of the system are monitored for momentary interruptions, identify and describe the quality of data used, and update as needed in subsequent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on customer outages.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reporting electric utility shall provide tables and graphical representations showing, in ascending order, the total number of customers that experienced set numbers of sustained interruptions during the year (i.e., the number of customers who experienced zero interruptions, the number of customers who experienced one interruption, two interruptions, three interruptions, and so on). The utility shall provide this for each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Iowa customers, excluding major events.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Iowa customers, including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reporting electric utility shall provide tables and graphical representations showing, in ascending order, the total number of customers that experienced a set range of total annual sustained interruption duration during the year (i.e., the number of customers who experienced zero hours total duration, the number of customers who experienced greater than 0.0833 but less than 0.5 hour total duration, the number of customers who experienced greater than 0.5 but less than 1.0 hour total duration, and so on, reflecting half-hour increments of duration). The utility shall provide this for each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Iowa customers, excluding major events.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Iowa customers, including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Major event summary. </w:t>
      </w:r>
      <w:r>
        <w:rPr>
          <w:rFonts w:ascii="Times New Roman" w:hAnsi="Times New Roman"/>
          <w:b w:val="false"/>
          <w:i w:val="false"/>
          <w:color w:val="000000"/>
          <w:sz w:val="22"/>
        </w:rPr>
        <w:t>For each major event that occurred in the reporting period,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area(s) impacted by each major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customers interrupted by each major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customer-minutes interrupted by each major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Updated damage cost estimates to the electric utility’s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Information on transmission and distribution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circuit miles of electric distribution line in service at year’s end, segregated by voltage level. Reasonable groupings of lines with similar voltage levels, such as but not limited to 12,000- and 13,000-volt three-phase facilities,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circuit miles of electric transmission line in service at year’s end, segregated by voltage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Plans and status report. </w:t>
      </w:r>
      <w:r>
        <w:rPr>
          <w:rFonts w:ascii="Times New Roman" w:hAnsi="Times New Roman"/>
          <w:b w:val="false"/>
          <w:i w:val="false"/>
          <w:color w:val="000000"/>
          <w:sz w:val="22"/>
        </w:rPr>
        <w:t>A plan for service quality improvements, including costs, for the electric utility’s transmission and distribution facilities that will ensure quality, safe, and reliable delivery of energy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Capital expenditure information. </w:t>
      </w:r>
      <w:r>
        <w:rPr>
          <w:rFonts w:ascii="Times New Roman" w:hAnsi="Times New Roman"/>
          <w:b w:val="false"/>
          <w:i w:val="false"/>
          <w:color w:val="000000"/>
          <w:sz w:val="22"/>
        </w:rPr>
        <w:t>Reporting of capital expenditure information shall start with data from the year covered by the first Annual Reliability Report submittal so that by the fifth Annual Reliability Report submittal five years of data shall be available in each subsequent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report on an annual basis the total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Capital investment in the electric utility’s Iowa-based transmission and distribution infrastructure approved by its board of directors or other appropriate authority. If any amounts approved by the board of directors are designated for use in a recovery from a major event, those amounts shall be identified in addition to the total.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Capital investment expenditures in the electric utility’s Iowa-based transmission and distribution infrastructure. If any expenditures were utilized in a recovery from a major event, those amounts shall be identified in addition to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utility shall report the same capital expenditure data from the past five years in the same fashion as in </w:t>
      </w:r>
      <w:hyperlink r:id="rId117">
        <w:r>
          <w:rPr>
            <w:rStyle w:val="Hyperlink"/>
            <w:rFonts w:ascii="Times New Roman" w:hAnsi="Times New Roman"/>
            <w:b w:val="false"/>
            <w:i w:val="false"/>
            <w:color w:val="000000"/>
            <w:sz w:val="22"/>
          </w:rPr>
          <w:t>20.18(7)</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Reporting of maintenance information shall start with data from the year covered by the first Annual Reliability Report submittal so that by the fifth Annual Reliability Report submittal five years of data shall be available in each subsequent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maintenance budgets and expenditures for distribution, and for transmission, for each operating area, if applicable, and for the electric utility’s entire Iowa system for the past five years. If any maintenance budgets and expenditures are designated for use in a recovery from a major event, or were used in a recovery from a major event, respectively, those amounts shall be identified in addition to the totals.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Tree trimming.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budget and expenditures described in </w:t>
      </w:r>
      <w:hyperlink r:id="rId118">
        <w:r>
          <w:rPr>
            <w:rStyle w:val="Hyperlink"/>
            <w:rFonts w:ascii="Times New Roman" w:hAnsi="Times New Roman"/>
            <w:b w:val="false"/>
            <w:i w:val="false"/>
            <w:color w:val="000000"/>
            <w:sz w:val="22"/>
          </w:rPr>
          <w:t>20.18(7)</w:t>
        </w:r>
        <w:r>
          <w:rPr>
            <w:rFonts w:ascii="Times New Roman" w:hAnsi="Times New Roman"/>
            <w:b w:val="false"/>
            <w:i/>
            <w:color w:val="000000"/>
            <w:sz w:val="22"/>
          </w:rPr>
          <w:t>“h”</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be stated in such a way that the total annual tree trimming budget expenditures shall be identifiable for each operating area and for the electric utility’s entire Iowa system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Total annual projected and actual miles of transmission line and of distribution line for which trees were trimmed for the reporting year for each operating area and for the electric utility’s entire Iowa system for the reporting year, compared to the past five years. If the utility has utilized, or would prefer to utilize, an alternative method or methods of tracking physical tree trimming progress, it may propose the use of that method or methods to the board in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 the event the utility’s actual tree trimming performance, based on how the utility tracks its tree trimming as described in </w:t>
      </w:r>
      <w:hyperlink r:id="rId119">
        <w:r>
          <w:rPr>
            <w:rStyle w:val="Hyperlink"/>
            <w:rFonts w:ascii="Times New Roman" w:hAnsi="Times New Roman"/>
            <w:b w:val="false"/>
            <w:i w:val="false"/>
            <w:color w:val="000000"/>
            <w:sz w:val="22"/>
          </w:rPr>
          <w:t>20.18(7)</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“1,” lags behind its planned trimming schedule by more than six months, the utility shall be required to file for the board’s approval additional tree trimming status reports on a quarterly basis. Such reports shall describe the steps the utility will take to remediate its tree trimming performance and backlog. The additional quarterly reports shall continue until the utility’s backlog has been reduced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annual reliability report shall include the number of poles inspected, the number rejected, and the number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20.18(8)</w:t>
      </w:r>
      <w:r>
        <w:rPr>
          <w:rFonts w:ascii="Times New Roman" w:hAnsi="Times New Roman"/>
          <w:b w:val="false"/>
          <w:i w:val="false"/>
          <w:color w:val="000000"/>
          <w:sz w:val="22"/>
        </w:rPr>
        <w:t> </w:t>
      </w:r>
      <w:r>
        <w:rPr>
          <w:rFonts w:ascii="Times New Roman" w:hAnsi="Times New Roman"/>
          <w:b w:val="false"/>
          <w:i/>
          <w:color w:val="000000"/>
          <w:sz w:val="22"/>
        </w:rPr>
        <w:t xml:space="preserve">Annual report for all electric utilities not reporting pursuant to </w:t>
      </w:r>
      <w:hyperlink r:id="rId120">
        <w:r>
          <w:rPr>
            <w:rStyle w:val="Hyperlink"/>
            <w:rFonts w:ascii="Times New Roman" w:hAnsi="Times New Roman"/>
            <w:b w:val="false"/>
            <w:i/>
            <w:color w:val="000000"/>
            <w:sz w:val="22"/>
          </w:rPr>
          <w:t>20.18(7)</w:t>
        </w:r>
      </w:hyperlink>
      <w:r>
        <w:rPr>
          <w:rFonts w:ascii="Times New Roman" w:hAnsi="Times New Roman"/>
          <w:b w:val="false"/>
          <w:i/>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Each electric utility shall adopt and have approved by its board of directors or other governing authority a reliability plan. The plan shall be updated not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April 1 of each year, each electric utility shall prepare for its board of directors or other governing authority a reliability report. A copy of the annual report shall be filed with the board for informational purposes, shall be made publicly available in its entirety to customers/consumer owners, and shall report on the reliability indices in </w:t>
      </w:r>
      <w:hyperlink r:id="rId121">
        <w:r>
          <w:rPr>
            <w:rStyle w:val="Hyperlink"/>
            <w:rFonts w:ascii="Times New Roman" w:hAnsi="Times New Roman"/>
            <w:b w:val="false"/>
            <w:i w:val="false"/>
            <w:color w:val="000000"/>
            <w:sz w:val="22"/>
          </w:rPr>
          <w:t>20.18(5)</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for each of the five previous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w:t>
      </w:r>
      <w:r>
        <w:rPr>
          <w:rFonts w:ascii="Times New Roman" w:hAnsi="Times New Roman"/>
          <w:b w:val="false"/>
          <w:i w:val="false"/>
          <w:color w:val="000000"/>
          <w:sz w:val="22"/>
        </w:rPr>
        <w:t> </w:t>
      </w:r>
      <w:r>
        <w:rPr>
          <w:rFonts w:ascii="Times New Roman" w:hAnsi="Times New Roman"/>
          <w:b w:val="false"/>
          <w:i/>
          <w:color w:val="000000"/>
          <w:sz w:val="22"/>
        </w:rPr>
        <w:t xml:space="preserve">Inquiries about electric service reliability.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electric utilities with over 50,000 Iowa retail customers. A customer may request a report from an electric utility about the service reliability of the circuit supplying the customer’s own meter. Within 20 working days of receipt of the request, the electric utility shall supply the report to the customer at a reasonable cost. The report should identify which interruptions (number and durations) are due to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utilities are encouraged to adopt similar responses to the extent it is administratively feasible.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8394B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199—20.19</w:t>
      </w:r>
      <w:r>
        <w:rPr>
          <w:rFonts w:ascii="Times New Roman" w:hAnsi="Times New Roman"/>
          <w:b/>
          <w:i w:val="false"/>
          <w:color w:val="000000"/>
          <w:sz w:val="22"/>
        </w:rPr>
        <w:t xml:space="preserve">(476,478) </w:t>
      </w:r>
      <w:r>
        <w:rPr>
          <w:rFonts w:ascii="Times New Roman" w:hAnsi="Times New Roman"/>
          <w:b/>
          <w:i w:val="false"/>
          <w:color w:val="000000"/>
          <w:sz w:val="22"/>
        </w:rPr>
        <w:t xml:space="preserve">Notification of outages.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The notification requirements in subrules </w:t>
      </w:r>
      <w:hyperlink r:id="rId122">
        <w:r>
          <w:rPr>
            <w:rStyle w:val="Hyperlink"/>
            <w:rFonts w:ascii="Times New Roman" w:hAnsi="Times New Roman"/>
            <w:b w:val="false"/>
            <w:i w:val="false"/>
            <w:color w:val="000000"/>
            <w:sz w:val="22"/>
          </w:rPr>
          <w:t>20.19(1)</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20.19(2)</w:t>
        </w:r>
      </w:hyperlink>
      <w:r>
        <w:rPr>
          <w:rFonts w:ascii="Times New Roman" w:hAnsi="Times New Roman"/>
          <w:b w:val="false"/>
          <w:i w:val="false"/>
          <w:color w:val="000000"/>
          <w:sz w:val="22"/>
        </w:rPr>
        <w:t xml:space="preserve"> are for the timely collection of electric outage information that may be useful to emergency management agencies in providing for the welfare of individual Iowa citizens. Each electric utility shall notify the board when it is projected that an outage may result in a loss of service for more than six hours and the outage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substantially all of a municipality, including the surrounding area served by the same utility. A utility may use loss of service to 75 percent or more of customers within a municipality, including the surrounding area served by the utility, to meet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20 percent of the customers in a utility’s established zone or loss of service to more than 5,000 customers in a metropolitan area,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major event as defined in subrule </w:t>
      </w:r>
      <w:hyperlink r:id="rId124">
        <w:r>
          <w:rPr>
            <w:rStyle w:val="Hyperlink"/>
            <w:rFonts w:ascii="Times New Roman" w:hAnsi="Times New Roman"/>
            <w:b w:val="false"/>
            <w:i w:val="false"/>
            <w:color w:val="000000"/>
            <w:sz w:val="22"/>
          </w:rPr>
          <w:t>20.18(4)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outage considered significant by the electric utility. This includes loss of service for more than six hours to significant public health and safety facilities known to the utility at the time of the notification, even when the outage does not meet the criteria in paragraphs </w:t>
      </w:r>
      <w:hyperlink r:id="rId125">
        <w:r>
          <w:rPr>
            <w:rStyle w:val="Hyperlink"/>
            <w:rFonts w:ascii="Times New Roman" w:hAnsi="Times New Roman"/>
            <w:b w:val="false"/>
            <w:i w:val="false"/>
            <w:color w:val="000000"/>
            <w:sz w:val="22"/>
          </w:rPr>
          <w:t>20.19(1)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provided regarding outages that meet the requirements of subrule </w:t>
      </w:r>
      <w:hyperlink r:id="rId126">
        <w:r>
          <w:rPr>
            <w:rStyle w:val="Hyperlink"/>
            <w:rFonts w:ascii="Times New Roman" w:hAnsi="Times New Roman"/>
            <w:b w:val="false"/>
            <w:i w:val="false"/>
            <w:color w:val="000000"/>
            <w:sz w:val="22"/>
          </w:rPr>
          <w:t>20.19(1)</w:t>
        </w:r>
      </w:hyperlink>
      <w:r>
        <w:rPr>
          <w:rFonts w:ascii="Times New Roman" w:hAnsi="Times New Roman"/>
          <w:b w:val="false"/>
          <w:i w:val="false"/>
          <w:color w:val="000000"/>
          <w:sz w:val="22"/>
        </w:rPr>
        <w:t xml:space="preserve"> by notifying the board duty officer by email at </w:t>
      </w:r>
      <w:hyperlink r:id="rId127">
        <w:r>
          <w:rPr>
            <w:rStyle w:val="Hyperlink"/>
            <w:rFonts w:ascii="Times New Roman" w:hAnsi="Times New Roman"/>
            <w:b w:val="false"/>
            <w:i w:val="false"/>
            <w:color w:val="000000"/>
            <w:sz w:val="22"/>
            <w:u w:val="single"/>
          </w:rPr>
          <w:t>dutyofficer@iub.iowa.gov</w:t>
        </w:r>
      </w:hyperlink>
      <w:r>
        <w:rPr>
          <w:rFonts w:ascii="Times New Roman" w:hAnsi="Times New Roman"/>
          <w:b w:val="false"/>
          <w:i w:val="false"/>
          <w:color w:val="000000"/>
          <w:sz w:val="22"/>
        </w:rPr>
        <w:t xml:space="preserve"> or, in appropriate circumstances, by telephone at (515)745-2332. Notification shall be made at the earliest possible time after it is determined the event may be reportable and should include the following information,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or cause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area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number of customers that have experienced a loss of electric service as a result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when service is estimated to be restored;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outage.</w:t>
      </w:r>
    </w:p>
    <w:p>
      <w:pPr>
        <w:spacing w:before="0" w:after="0"/>
        <w:ind w:left="120"/>
        <w:jc w:val="both"/>
      </w:pPr>
      <w:r>
        <w:rPr>
          <w:rFonts w:ascii="Times New Roman" w:hAnsi="Times New Roman"/>
          <w:b w:val="false"/>
          <w:i w:val="false"/>
          <w:color w:val="000000"/>
          <w:sz w:val="22"/>
        </w:rPr>
        <w:t>The notice should be supplemented as more complete or accurate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to the board updates of the estimated time when service will be restored to all customers able to receive service or of significant changed circumstances, unless service is restored within one hour of the time initially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notify the board once service is fully restored to all customers after an outage meeting the requirements of </w:t>
      </w:r>
      <w:hyperlink r:id="rId128">
        <w:r>
          <w:rPr>
            <w:rStyle w:val="Hyperlink"/>
            <w:rFonts w:ascii="Times New Roman" w:hAnsi="Times New Roman"/>
            <w:b w:val="false"/>
            <w:i w:val="false"/>
            <w:color w:val="000000"/>
            <w:sz w:val="22"/>
          </w:rPr>
          <w:t>subrule 20.19(1)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8394B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9819B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4171C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199—20.20</w:t>
      </w:r>
      <w:r>
        <w:rPr>
          <w:rFonts w:ascii="Times New Roman" w:hAnsi="Times New Roman"/>
          <w:b/>
          <w:i w:val="false"/>
          <w:color w:val="000000"/>
          <w:sz w:val="22"/>
        </w:rPr>
        <w:t xml:space="preserve">(476) </w:t>
      </w:r>
      <w:r>
        <w:rPr>
          <w:rFonts w:ascii="Times New Roman" w:hAnsi="Times New Roman"/>
          <w:b/>
          <w:i w:val="false"/>
          <w:color w:val="000000"/>
          <w:sz w:val="22"/>
        </w:rPr>
        <w:t xml:space="preserve">Electric vehicle charging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or public electric vehicle charging station is not a public utility under Iowa Code section </w:t>
      </w:r>
      <w:hyperlink r:id="rId129">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if the charging station receives all electric power from the electric utility in whose service area the charging station is located. If an electric vehicle charging station obtains electric power from a source other than the electric utility, the determination of whether the commercial or public electric vehicle charging station is a public utility shall be resolved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partnership, business association, or corporation, foreign or domestic, furnishing electricity to a commercial or public electric vehicle charging station shall comply with Iowa Code section </w:t>
      </w:r>
      <w:hyperlink r:id="rId130">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 xml:space="preserve"> and, if applicable, with the terms and conditions of the public utility’s tariffs or service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val="false"/>
          <w:color w:val="000000"/>
          <w:sz w:val="22"/>
        </w:rPr>
        <w:t>A rate-regulated public utility shall not, through its filed tariff, prohibit electric vehicle charging or restrict the method of sale of electric vehicle charging at a commercial or public electric vehicle charging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val="false"/>
          <w:color w:val="000000"/>
          <w:sz w:val="22"/>
        </w:rPr>
        <w:t>Electric utilities and entities providing commercial or public electric vehicle charging service shall comply with all applicable statutes and regulations governing the provision of electric vehicle charging service, including but not limited to all taxing requirements, and shall, if necessary, file all appropriate tariffs.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199—20.21</w:t>
      </w:r>
      <w:r>
        <w:rPr>
          <w:rFonts w:ascii="Times New Roman" w:hAnsi="Times New Roman"/>
          <w:b/>
          <w:i w:val="false"/>
          <w:color w:val="000000"/>
          <w:sz w:val="22"/>
        </w:rPr>
        <w:t xml:space="preserve">(476) </w:t>
      </w:r>
      <w:r>
        <w:rPr>
          <w:rFonts w:ascii="Times New Roman" w:hAnsi="Times New Roman"/>
          <w:b/>
          <w:i w:val="false"/>
          <w:color w:val="000000"/>
          <w:sz w:val="22"/>
        </w:rPr>
        <w:t xml:space="preserve">Transmission cost adjustment (TCA).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color w:val="000000"/>
          <w:sz w:val="22"/>
        </w:rPr>
        <w:t xml:space="preserve">Transmission cost adjustment. </w:t>
      </w:r>
      <w:r>
        <w:rPr>
          <w:rFonts w:ascii="Times New Roman" w:hAnsi="Times New Roman"/>
          <w:b w:val="false"/>
          <w:i w:val="false"/>
          <w:color w:val="000000"/>
          <w:sz w:val="22"/>
        </w:rPr>
        <w:t xml:space="preserve">Pursuant to Iowa Code section </w:t>
      </w:r>
      <w:hyperlink r:id="rId131">
        <w:r>
          <w:rPr>
            <w:rStyle w:val="Hyperlink"/>
            <w:rFonts w:ascii="Times New Roman" w:hAnsi="Times New Roman"/>
            <w:b w:val="false"/>
            <w:i w:val="false"/>
            <w:color w:val="000000"/>
            <w:sz w:val="22"/>
          </w:rPr>
          <w:t>476.6(8)</w:t>
        </w:r>
      </w:hyperlink>
      <w:r>
        <w:rPr>
          <w:rFonts w:ascii="Times New Roman" w:hAnsi="Times New Roman"/>
          <w:b w:val="false"/>
          <w:i/>
          <w:color w:val="000000"/>
          <w:sz w:val="22"/>
        </w:rPr>
        <w:t>“b,”</w:t>
      </w:r>
      <w:r>
        <w:rPr>
          <w:rFonts w:ascii="Times New Roman" w:hAnsi="Times New Roman"/>
          <w:b w:val="false"/>
          <w:i w:val="false"/>
          <w:color w:val="000000"/>
          <w:sz w:val="22"/>
        </w:rPr>
        <w:t xml:space="preserve"> public utilities may automatically adjust rates and charges to recover transmission-related costs incurred by or charged to the public utility consistent with a tariff or agreement that is subject to the jurisdiction of the Federal Energy Regulatory Commission, provided that a schedule showing the automatic adjustment of rates and charges is first filed with and approved by the board. Transmission cost adjustments shall be computed and tracked separately for each customer classification or grouping previously approved by the board and shall use the same unit of measure as the utility’s tariffed rates. Changes in the customer classification and grouping on file are not automatic and require prior approval by the board. If any eligible cost is recovered outside of the TCA, the cost may not be recovered through the TCA until the cost is removed from its current recovery mechanism. If any eligible cost is recovered outside of the TCA, the cost may not be recovered through the TCA until the cost is removed from base rates during a utility’s rate case. The TCA factor shall be included as a separate line item on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color w:val="000000"/>
          <w:sz w:val="22"/>
        </w:rPr>
        <w:t xml:space="preserve">TCA annual factor. </w:t>
      </w:r>
      <w:r>
        <w:rPr>
          <w:rFonts w:ascii="Times New Roman" w:hAnsi="Times New Roman"/>
          <w:b w:val="false"/>
          <w:i w:val="false"/>
          <w:color w:val="000000"/>
          <w:sz w:val="22"/>
        </w:rPr>
        <w:t>An annual TCA factor update shall be filed as a TF docket at least 30 days prior to the beginning of the utility’s TCA year. The TCA update shall include information describing which eligible TCA costs are being recovered through the TCA and, if not recovered through the TCA, where eligible costs are being recovered. The annual TCA factors for each customer classification or grouping shall be based upon forecasted transmission costs allocated to Iowa retail customers, forecasted Iowa sales or demand, and allocation factors approved by the board. The forecasted allocation factors shall be based on a three-year average of the actual allocation factors for each of the three previous calendar years. For customers billed by kilowatt-hours, the factors shall be developed on a kilowatt-hour basis. For customers billed by kilowatt, the factors shall be developed on a kilowatt basis. In addition, the following is required to be included with this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transmission costs that are incurred by or charged to the public utility and are consistent with a tariff or agreement that is subject to the jurisdiction of the Federal Energy Regulatory Commission, detailing where each transmission cost is currently being recovered (e.g., base rates, TCA).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time series chart of each transmission cost eligible for inclusion in the TCA for the previous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color w:val="000000"/>
          <w:sz w:val="22"/>
        </w:rPr>
        <w:t xml:space="preserve">Annual reconciliation. </w:t>
      </w:r>
      <w:r>
        <w:rPr>
          <w:rFonts w:ascii="Times New Roman" w:hAnsi="Times New Roman"/>
          <w:b w:val="false"/>
          <w:i w:val="false"/>
          <w:color w:val="000000"/>
          <w:sz w:val="22"/>
        </w:rPr>
        <w:t xml:space="preserve">Within four months after the effective date of annual TCA factors, a utility shall file an annual reconciliation based upon actual costs and revenues attributed to Iowa customers for the prior calendar year. The annual reconciliation shall be filed in the same TF docket identified for the annual filing required in </w:t>
      </w:r>
      <w:hyperlink r:id="rId132">
        <w:r>
          <w:rPr>
            <w:rStyle w:val="Hyperlink"/>
            <w:rFonts w:ascii="Times New Roman" w:hAnsi="Times New Roman"/>
            <w:b w:val="false"/>
            <w:i w:val="false"/>
            <w:color w:val="000000"/>
            <w:sz w:val="22"/>
          </w:rPr>
          <w:t>subrule 20.21(2)</w:t>
        </w:r>
      </w:hyperlink>
      <w:r>
        <w:rPr>
          <w:rFonts w:ascii="Times New Roman" w:hAnsi="Times New Roman"/>
          <w:b w:val="false"/>
          <w:i w:val="false"/>
          <w:color w:val="000000"/>
          <w:sz w:val="22"/>
        </w:rPr>
        <w:t xml:space="preserve">. The reconciliation shall include updated allocators for each customer classification or grouping based on actual load data from the prior calendar year. The actual costs for the prior calendar year shall be allocated to each customer class based upon the updated allocation factors. The utility shall compare the actual transmission costs allocated to each customer class with the actual revenue billed through the TCA by customer class net of the prior year’s reconciliation dollar amount for each customer class. Any resulting overcollection or undercollection for each class shall be divided by the forecasted sales or demand for each customer class for the remainder of the TCA period. The resulting adjustments shall be added to the effective TCA factors which were approved in the TCA annual factor filing under </w:t>
      </w:r>
      <w:hyperlink r:id="rId133">
        <w:r>
          <w:rPr>
            <w:rStyle w:val="Hyperlink"/>
            <w:rFonts w:ascii="Times New Roman" w:hAnsi="Times New Roman"/>
            <w:b w:val="false"/>
            <w:i w:val="false"/>
            <w:color w:val="000000"/>
            <w:sz w:val="22"/>
          </w:rPr>
          <w:t>subrule 20.21(2)</w:t>
        </w:r>
      </w:hyperlink>
      <w:r>
        <w:rPr>
          <w:rFonts w:ascii="Times New Roman" w:hAnsi="Times New Roman"/>
          <w:b w:val="false"/>
          <w:i w:val="false"/>
          <w:color w:val="000000"/>
          <w:sz w:val="22"/>
        </w:rPr>
        <w:t xml:space="preserve">. The adjusted TCA factor for customers billed by kilowatt-hours shall be developed on a kilowatt-hour basis, and for customers billed on a kilowatt basis, the adjusted TCA factor shall be developed on a kilowatt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color w:val="000000"/>
          <w:sz w:val="22"/>
        </w:rPr>
        <w:t xml:space="preserve">Other adjustments to the TCA factor. </w:t>
      </w:r>
      <w:r>
        <w:rPr>
          <w:rFonts w:ascii="Times New Roman" w:hAnsi="Times New Roman"/>
          <w:b w:val="false"/>
          <w:i w:val="false"/>
          <w:color w:val="000000"/>
          <w:sz w:val="22"/>
        </w:rPr>
        <w:t xml:space="preserve">A utility may propose other adjustments to the TCA factor throughout the 12-month TCA period to assist with accurate recovery of forecasted costs and revenues, subject to board approval. Any midyear adjustments shall be filed in the same TF docket as the annual filing. If a utility proposes an adjustment to the TCA factor, other than the reconciliation required in </w:t>
      </w:r>
      <w:hyperlink r:id="rId134">
        <w:r>
          <w:rPr>
            <w:rStyle w:val="Hyperlink"/>
            <w:rFonts w:ascii="Times New Roman" w:hAnsi="Times New Roman"/>
            <w:b w:val="false"/>
            <w:i w:val="false"/>
            <w:color w:val="000000"/>
            <w:sz w:val="22"/>
          </w:rPr>
          <w:t>subrule 20.21(3)</w:t>
        </w:r>
      </w:hyperlink>
      <w:r>
        <w:rPr>
          <w:rFonts w:ascii="Times New Roman" w:hAnsi="Times New Roman"/>
          <w:b w:val="false"/>
          <w:i w:val="false"/>
          <w:color w:val="000000"/>
          <w:sz w:val="22"/>
        </w:rPr>
        <w:t>, the utility shall provide an explanation for the proposed adjustment and provide information to support the proposed adjustment. For any customer billed by kilowatt-hours, the proposed adjustment shall be developed on a kilowatt-hour basis. For any customer billed on a kilowatt basis, the proposed adjustment shall be developed on a kilowatt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color w:val="000000"/>
          <w:sz w:val="22"/>
        </w:rPr>
        <w:t xml:space="preserve">Quarterly informational filings. </w:t>
      </w:r>
      <w:r>
        <w:rPr>
          <w:rFonts w:ascii="Times New Roman" w:hAnsi="Times New Roman"/>
          <w:b w:val="false"/>
          <w:i w:val="false"/>
          <w:color w:val="000000"/>
          <w:sz w:val="22"/>
        </w:rPr>
        <w:t>By the end of the month following the end of each calendar quarter, the utility shall file a report containing, at minimum, the current cumulative overcollection or undercollection balance, support for the overcollection or undercollection calculation, the total transmission cost for the current calendar year by category, and the supporting invoices and documentation for the most recent calendar quarter. The reports shall be filed in the same TF docket as the annual TCA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color w:val="000000"/>
          <w:sz w:val="22"/>
        </w:rPr>
        <w:t xml:space="preserve">Semiannual transmission reports. </w:t>
      </w:r>
      <w:r>
        <w:rPr>
          <w:rFonts w:ascii="Times New Roman" w:hAnsi="Times New Roman"/>
          <w:b w:val="false"/>
          <w:i w:val="false"/>
          <w:color w:val="000000"/>
          <w:sz w:val="22"/>
        </w:rPr>
        <w:t>Each year at the beginning, and midpoint of a utility’s TCA year, each utility shall file a report detailing the utility’s transmission-related activities. These reports shall detail the utility’s recent efforts to mitigate transmission costs and influence policy to the benefit of the utility and its ratepayers.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w:t>
      </w:r>
      <w:r>
        <w:rPr>
          <w:rFonts w:ascii="Times New Roman" w:hAnsi="Times New Roman"/>
          <w:b w:val="false"/>
          <w:i w:val="false"/>
          <w:color w:val="000000"/>
          <w:sz w:val="22"/>
        </w:rPr>
        <w:t> </w:t>
      </w:r>
      <w:r>
        <w:rPr>
          <w:rFonts w:ascii="Times New Roman" w:hAnsi="Times New Roman"/>
          <w:b w:val="false"/>
          <w:i/>
          <w:color w:val="000000"/>
          <w:sz w:val="22"/>
        </w:rPr>
        <w:t>Midcontinent Independent System Operator, Inc.</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(MISO) refunds. </w:t>
      </w:r>
      <w:r>
        <w:rPr>
          <w:rFonts w:ascii="Times New Roman" w:hAnsi="Times New Roman"/>
          <w:b w:val="false"/>
          <w:i w:val="false"/>
          <w:color w:val="000000"/>
          <w:sz w:val="22"/>
        </w:rPr>
        <w:t>Any utility utilizing a TCA mechanism that receives transmission-related refunds from MISO shall file a refund plan for board approval, detailing how the utility will distribute the refund to customers. The refund plan must be filed once the amount and timing of the refund is known to the utility. The refund plan shall include an applicable interest rate for refund amounts held more than 30 days, the method of distributing the refund to customers, and the timing of distributing the refund to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364.23</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478.18</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7/12/66; amended 6/27/75]</w:t>
      </w:r>
    </w:p>
    <w:p>
      <w:pPr>
        <w:spacing w:before="0" w:after="0"/>
        <w:ind w:left="120"/>
        <w:jc w:val="center"/>
      </w:pPr>
      <w:r>
        <w:rPr>
          <w:rFonts w:ascii="Times New Roman" w:hAnsi="Times New Roman"/>
          <w:b w:val="false"/>
          <w:i w:val="false"/>
          <w:color w:val="000000"/>
          <w:sz w:val="21"/>
        </w:rPr>
        <w:t>[Filed 12/30/75, Notice 10/6/75—published 1/26/76, effective 3/1/76]</w:t>
      </w:r>
    </w:p>
    <w:p>
      <w:pPr>
        <w:spacing w:before="0" w:after="0"/>
        <w:ind w:left="120"/>
        <w:jc w:val="center"/>
      </w:pPr>
      <w:r>
        <w:rPr>
          <w:rFonts w:ascii="Times New Roman" w:hAnsi="Times New Roman"/>
          <w:b w:val="false"/>
          <w:i w:val="false"/>
          <w:color w:val="000000"/>
          <w:sz w:val="21"/>
        </w:rPr>
        <w:t>[Filed 1/7/77, Notice 11/3/76—published 1/26/77, effective 3/2/77]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10/4/78, Notice 8/23/78—published 11/1/78, effective 12/6/78]</w:t>
      </w:r>
    </w:p>
    <w:p>
      <w:pPr>
        <w:spacing w:before="0" w:after="0"/>
        <w:ind w:left="120"/>
        <w:jc w:val="center"/>
      </w:pPr>
      <w:r>
        <w:rPr>
          <w:rFonts w:ascii="Times New Roman" w:hAnsi="Times New Roman"/>
          <w:b w:val="false"/>
          <w:i w:val="false"/>
          <w:color w:val="000000"/>
          <w:sz w:val="21"/>
        </w:rPr>
        <w:t>[Filed 11/9/78, Notice 11/2/77—published 11/29/78, effective 1/3/79]</w:t>
      </w:r>
    </w:p>
    <w:p>
      <w:pPr>
        <w:spacing w:before="0" w:after="0"/>
        <w:ind w:left="120"/>
        <w:jc w:val="center"/>
      </w:pPr>
      <w:r>
        <w:rPr>
          <w:rFonts w:ascii="Times New Roman" w:hAnsi="Times New Roman"/>
          <w:b w:val="false"/>
          <w:i w:val="false"/>
          <w:color w:val="000000"/>
          <w:sz w:val="21"/>
        </w:rPr>
        <w:t>[Filed emergency 12/22/78—published 1/10/79, effective 12/22/78]</w:t>
      </w:r>
    </w:p>
    <w:p>
      <w:pPr>
        <w:spacing w:before="0" w:after="0"/>
        <w:ind w:left="120"/>
        <w:jc w:val="center"/>
      </w:pPr>
      <w:r>
        <w:rPr>
          <w:rFonts w:ascii="Times New Roman" w:hAnsi="Times New Roman"/>
          <w:b w:val="false"/>
          <w:i w:val="false"/>
          <w:color w:val="000000"/>
          <w:sz w:val="21"/>
        </w:rPr>
        <w:t>[Filed emergency 12/27/78—published 1/10/79, effective 12/27/78]</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4/10/79, Notice 11/1/78—published 5/2/79, effective 6/6/79]</w:t>
      </w:r>
    </w:p>
    <w:p>
      <w:pPr>
        <w:spacing w:before="0" w:after="0"/>
        <w:ind w:left="120"/>
        <w:jc w:val="center"/>
      </w:pPr>
      <w:r>
        <w:rPr>
          <w:rFonts w:ascii="Times New Roman" w:hAnsi="Times New Roman"/>
          <w:b w:val="false"/>
          <w:i w:val="false"/>
          <w:color w:val="000000"/>
          <w:sz w:val="21"/>
        </w:rPr>
        <w:t>[Filed 6/8/79, Notice 4/4/79—published 6/27/79, effective 8/1/79]</w:t>
      </w:r>
    </w:p>
    <w:p>
      <w:pPr>
        <w:spacing w:before="0" w:after="0"/>
        <w:ind w:left="120"/>
        <w:jc w:val="center"/>
      </w:pPr>
      <w:r>
        <w:rPr>
          <w:rFonts w:ascii="Times New Roman" w:hAnsi="Times New Roman"/>
          <w:b w:val="false"/>
          <w:i w:val="false"/>
          <w:color w:val="000000"/>
          <w:sz w:val="21"/>
        </w:rPr>
        <w:t>[Filed 6/29/79, Notice 11/1/78—published 7/25/79, effective 8/29/79]</w:t>
      </w:r>
    </w:p>
    <w:p>
      <w:pPr>
        <w:spacing w:before="0" w:after="0"/>
        <w:ind w:left="120"/>
        <w:jc w:val="center"/>
      </w:pPr>
      <w:r>
        <w:rPr>
          <w:rFonts w:ascii="Times New Roman" w:hAnsi="Times New Roman"/>
          <w:b w:val="false"/>
          <w:i w:val="false"/>
          <w:color w:val="000000"/>
          <w:sz w:val="21"/>
        </w:rPr>
        <w:t>[Filed 9/26/80, Notice 8/6/80—published 10/15/80, effective 11/19/80]</w:t>
      </w:r>
    </w:p>
    <w:p>
      <w:pPr>
        <w:spacing w:before="0" w:after="0"/>
        <w:ind w:left="120"/>
        <w:jc w:val="center"/>
      </w:pPr>
      <w:r>
        <w:rPr>
          <w:rFonts w:ascii="Times New Roman" w:hAnsi="Times New Roman"/>
          <w:b w:val="false"/>
          <w:i w:val="false"/>
          <w:color w:val="000000"/>
          <w:sz w:val="21"/>
        </w:rPr>
        <w:t>[Filed 1/30/81, Notice 5/14/80—published 2/18/81, effective 7/1/81]</w:t>
      </w:r>
    </w:p>
    <w:p>
      <w:pPr>
        <w:spacing w:before="0" w:after="0"/>
        <w:ind w:left="120"/>
        <w:jc w:val="center"/>
      </w:pPr>
      <w:r>
        <w:rPr>
          <w:rFonts w:ascii="Times New Roman" w:hAnsi="Times New Roman"/>
          <w:b w:val="false"/>
          <w:i w:val="false"/>
          <w:color w:val="000000"/>
          <w:sz w:val="21"/>
        </w:rPr>
        <w:t>[Filed 4/10/81, Notice 6/25/80—published 4/29/81, effective 6/3/81]</w:t>
      </w:r>
    </w:p>
    <w:p>
      <w:pPr>
        <w:spacing w:before="0" w:after="0"/>
        <w:ind w:left="120"/>
        <w:jc w:val="center"/>
      </w:pPr>
      <w:r>
        <w:rPr>
          <w:rFonts w:ascii="Times New Roman" w:hAnsi="Times New Roman"/>
          <w:b w:val="false"/>
          <w:i w:val="false"/>
          <w:color w:val="000000"/>
          <w:sz w:val="21"/>
        </w:rPr>
        <w:t>[Filed 5/18/81, Notice 9/17/80—published 6/10/81, effective 7/15/81]</w:t>
      </w:r>
    </w:p>
    <w:p>
      <w:pPr>
        <w:spacing w:before="0" w:after="0"/>
        <w:ind w:left="120"/>
        <w:jc w:val="center"/>
      </w:pPr>
      <w:r>
        <w:rPr>
          <w:rFonts w:ascii="Times New Roman" w:hAnsi="Times New Roman"/>
          <w:b w:val="false"/>
          <w:i w:val="false"/>
          <w:color w:val="000000"/>
          <w:sz w:val="21"/>
        </w:rPr>
        <w:t>[Filed 6/19/81, Notice 10/1/80—published 7/8/81, effective 8/12/81]</w:t>
      </w:r>
    </w:p>
    <w:p>
      <w:pPr>
        <w:spacing w:before="0" w:after="0"/>
        <w:ind w:left="120"/>
        <w:jc w:val="center"/>
      </w:pPr>
      <w:r>
        <w:rPr>
          <w:rFonts w:ascii="Times New Roman" w:hAnsi="Times New Roman"/>
          <w:b w:val="false"/>
          <w:i w:val="false"/>
          <w:color w:val="000000"/>
          <w:sz w:val="21"/>
        </w:rPr>
        <w:t>[Filed 9/10/81, Notice 2/6/80—published 9/30/81, effective 11/4/81]</w:t>
      </w:r>
    </w:p>
    <w:p>
      <w:pPr>
        <w:spacing w:before="0" w:after="0"/>
        <w:ind w:left="120"/>
        <w:jc w:val="center"/>
      </w:pPr>
      <w:r>
        <w:rPr>
          <w:rFonts w:ascii="Times New Roman" w:hAnsi="Times New Roman"/>
          <w:b w:val="false"/>
          <w:i w:val="false"/>
          <w:color w:val="000000"/>
          <w:sz w:val="21"/>
        </w:rPr>
        <w:t>[Filed 10/20/81, Notice 11/26/80—published 11/11/81, effective 12/16/81]</w:t>
      </w:r>
    </w:p>
    <w:p>
      <w:pPr>
        <w:spacing w:before="0" w:after="0"/>
        <w:ind w:left="120"/>
        <w:jc w:val="center"/>
      </w:pPr>
      <w:r>
        <w:rPr>
          <w:rFonts w:ascii="Times New Roman" w:hAnsi="Times New Roman"/>
          <w:b w:val="false"/>
          <w:i w:val="false"/>
          <w:color w:val="000000"/>
          <w:sz w:val="21"/>
        </w:rPr>
        <w:t>[Filed emergency 11/17/81 after Notice 9/30/81—published 12/9/81, effective 11/17/81]</w:t>
      </w:r>
    </w:p>
    <w:p>
      <w:pPr>
        <w:spacing w:before="0" w:after="0"/>
        <w:ind w:left="120"/>
        <w:jc w:val="center"/>
      </w:pPr>
      <w:r>
        <w:rPr>
          <w:rFonts w:ascii="Times New Roman" w:hAnsi="Times New Roman"/>
          <w:b w:val="false"/>
          <w:i w:val="false"/>
          <w:color w:val="000000"/>
          <w:sz w:val="21"/>
        </w:rPr>
        <w:t>[Filed emergency 12/14/81—published 1/6/82, effective 12/14/81]</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12/3/82, Notice 9/1/82—published 12/22/82, effective 1/26/83]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4/11/83, Notice 2/16/83—published 4/27/83, effective 6/1/83]</w:t>
      </w:r>
    </w:p>
    <w:p>
      <w:pPr>
        <w:spacing w:before="0" w:after="0"/>
        <w:ind w:left="120"/>
        <w:jc w:val="center"/>
      </w:pPr>
      <w:r>
        <w:rPr>
          <w:rFonts w:ascii="Times New Roman" w:hAnsi="Times New Roman"/>
          <w:b w:val="false"/>
          <w:i w:val="false"/>
          <w:color w:val="000000"/>
          <w:sz w:val="21"/>
        </w:rPr>
        <w:t>[Filed 4/15/83, Notice 1/19/83—published 5/11/83, effective 6/15/83]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9/9/83, Notice 6/8/83—published 9/28/83,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12/2/83, Notice 9/28/83—published 12/21/83, effective 1/25/84]</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1/13/84, Notice 9/11/83—published 2/1/84, effective 3/7/84]</w:t>
      </w:r>
    </w:p>
    <w:p>
      <w:pPr>
        <w:spacing w:before="0" w:after="0"/>
        <w:ind w:left="120"/>
        <w:jc w:val="center"/>
      </w:pPr>
      <w:r>
        <w:rPr>
          <w:rFonts w:ascii="Times New Roman" w:hAnsi="Times New Roman"/>
          <w:b w:val="false"/>
          <w:i w:val="false"/>
          <w:color w:val="000000"/>
          <w:sz w:val="21"/>
        </w:rPr>
        <w:t>[Filed 1/27/84, Notice 11/23/83—published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emergency 4/20/84—published 5/9/84, effective 4/23/84]</w:t>
      </w:r>
    </w:p>
    <w:p>
      <w:pPr>
        <w:spacing w:before="0" w:after="0"/>
        <w:ind w:left="120"/>
        <w:jc w:val="center"/>
      </w:pPr>
      <w:r>
        <w:rPr>
          <w:rFonts w:ascii="Times New Roman" w:hAnsi="Times New Roman"/>
          <w:b w:val="false"/>
          <w:i w:val="false"/>
          <w:color w:val="000000"/>
          <w:sz w:val="21"/>
        </w:rPr>
        <w:t>[Filed 4/20/84, Notice 2/15/84—published 5/9/84, effective 6/13/84]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9/10/84, Notice 2/15/84—published 9/26/84, effective 10/31/84]</w:t>
      </w:r>
    </w:p>
    <w:p>
      <w:pPr>
        <w:spacing w:before="0" w:after="0"/>
        <w:ind w:left="120"/>
        <w:jc w:val="center"/>
      </w:pPr>
      <w:r>
        <w:rPr>
          <w:rFonts w:ascii="Times New Roman" w:hAnsi="Times New Roman"/>
          <w:b w:val="false"/>
          <w:i w:val="false"/>
          <w:color w:val="000000"/>
          <w:sz w:val="21"/>
        </w:rPr>
        <w:t>[Filed 9/10/84, Notice 7/18/84—published 9/26/84, effective 10/31/84]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10/19/84, Notice 8/15/84—published 11/7/84, effective 12/26/84]</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5/6/85, Notice 1/2/85—published 5/22/85, effective 6/26/85]</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6/14/85, Notice 4/10/85—published 7/3/85, effective 8/7/85]</w:t>
      </w:r>
    </w:p>
    <w:p>
      <w:pPr>
        <w:spacing w:before="0" w:after="0"/>
        <w:ind w:left="120"/>
        <w:jc w:val="center"/>
      </w:pPr>
      <w:r>
        <w:rPr>
          <w:rFonts w:ascii="Times New Roman" w:hAnsi="Times New Roman"/>
          <w:b w:val="false"/>
          <w:i w:val="false"/>
          <w:color w:val="000000"/>
          <w:sz w:val="21"/>
        </w:rPr>
        <w:t>[Filed 8/9/85, Notice 6/19/85—published 8/28/85, effective 10/2/85]</w:t>
      </w:r>
    </w:p>
    <w:p>
      <w:pPr>
        <w:spacing w:before="0" w:after="0"/>
        <w:ind w:left="120"/>
        <w:jc w:val="center"/>
      </w:pPr>
      <w:r>
        <w:rPr>
          <w:rFonts w:ascii="Times New Roman" w:hAnsi="Times New Roman"/>
          <w:b w:val="false"/>
          <w:i w:val="false"/>
          <w:color w:val="000000"/>
          <w:sz w:val="21"/>
        </w:rPr>
        <w:t>[Filed emergency 2/7/86 after Notices 10/9/85, 12/4/85—published 2/26/86, effective 3/31/86]</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8/8/86, Notice 5/7/86—published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Notices 5/21/86, 6/4/86—published 9/10/86, effective 10/15/86]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6/10/88, Notices 4/8/87, 12/30/87, 3/9/88—published 6/29/88, effective 8/3/88]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12/22/88, Notice 9/21/88—published 1/11/89, effective 2/15/89]</w:t>
      </w:r>
    </w:p>
    <w:p>
      <w:pPr>
        <w:spacing w:before="0" w:after="0"/>
        <w:ind w:left="120"/>
        <w:jc w:val="center"/>
      </w:pPr>
      <w:r>
        <w:rPr>
          <w:rFonts w:ascii="Times New Roman" w:hAnsi="Times New Roman"/>
          <w:b w:val="false"/>
          <w:i w:val="false"/>
          <w:color w:val="000000"/>
          <w:sz w:val="21"/>
        </w:rPr>
        <w:t>[Filed 1/6/89, Notices 7/1/87, 1/13/88, 7/27/88—published 1/25/89, effective 3/1/89]</w:t>
      </w:r>
    </w:p>
    <w:p>
      <w:pPr>
        <w:spacing w:before="0" w:after="0"/>
        <w:ind w:left="120"/>
        <w:jc w:val="center"/>
      </w:pPr>
      <w:r>
        <w:rPr>
          <w:rFonts w:ascii="Times New Roman" w:hAnsi="Times New Roman"/>
          <w:b w:val="false"/>
          <w:i w:val="false"/>
          <w:color w:val="000000"/>
          <w:sz w:val="21"/>
        </w:rPr>
        <w:t>[Filed 5/24/89, Notices 5/4/88, 6/29/88, 12/14/88—published 6/14/89, effective 7/19/89]</w:t>
      </w:r>
    </w:p>
    <w:p>
      <w:pPr>
        <w:spacing w:before="0" w:after="0"/>
        <w:ind w:left="120"/>
        <w:jc w:val="center"/>
      </w:pPr>
      <w:r>
        <w:rPr>
          <w:rFonts w:ascii="Times New Roman" w:hAnsi="Times New Roman"/>
          <w:b w:val="false"/>
          <w:i w:val="false"/>
          <w:color w:val="000000"/>
          <w:sz w:val="21"/>
        </w:rPr>
        <w:t>[Filed 2/28/90, Notice 11/1/89—published 3/21/90, effective 4/25/90]</w:t>
      </w:r>
    </w:p>
    <w:p>
      <w:pPr>
        <w:spacing w:before="0" w:after="0"/>
        <w:ind w:left="120"/>
        <w:jc w:val="center"/>
      </w:pPr>
      <w:r>
        <w:rPr>
          <w:rFonts w:ascii="Times New Roman" w:hAnsi="Times New Roman"/>
          <w:b w:val="false"/>
          <w:i w:val="false"/>
          <w:color w:val="000000"/>
          <w:sz w:val="21"/>
        </w:rPr>
        <w:t>[Filed 9/14/90, Notice 11/29/90—published 10/3/90, effective 11/7/90]</w:t>
      </w:r>
    </w:p>
    <w:p>
      <w:pPr>
        <w:spacing w:before="0" w:after="0"/>
        <w:ind w:left="120"/>
        <w:jc w:val="center"/>
      </w:pPr>
      <w:r>
        <w:rPr>
          <w:rFonts w:ascii="Times New Roman" w:hAnsi="Times New Roman"/>
          <w:b w:val="false"/>
          <w:i w:val="false"/>
          <w:color w:val="000000"/>
          <w:sz w:val="21"/>
        </w:rPr>
        <w:t>[Filed 9/28/90, Notice 6/27/90—published 10/17/90, effective 11/21/90]</w:t>
      </w:r>
    </w:p>
    <w:p>
      <w:pPr>
        <w:spacing w:before="0" w:after="0"/>
        <w:ind w:left="120"/>
        <w:jc w:val="center"/>
      </w:pPr>
      <w:r>
        <w:rPr>
          <w:rFonts w:ascii="Times New Roman" w:hAnsi="Times New Roman"/>
          <w:b w:val="false"/>
          <w:i w:val="false"/>
          <w:color w:val="000000"/>
          <w:sz w:val="21"/>
        </w:rPr>
        <w:t>[Filed 10/24/90, Notice 3/21/90—published 11/14/90, effective 12/19/90]</w:t>
      </w:r>
    </w:p>
    <w:p>
      <w:pPr>
        <w:spacing w:before="0" w:after="0"/>
        <w:ind w:left="120"/>
        <w:jc w:val="center"/>
      </w:pPr>
      <w:r>
        <w:rPr>
          <w:rFonts w:ascii="Times New Roman" w:hAnsi="Times New Roman"/>
          <w:b w:val="false"/>
          <w:i w:val="false"/>
          <w:color w:val="000000"/>
          <w:sz w:val="21"/>
        </w:rPr>
        <w:t>[Filed 12/20/90, Notice 6/27/90—published 1/9/91, effective 2/13/91]</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4/25/91, Notice 12/26/90—published 5/15/91, effective 6/19/91]</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3/20/92, Notice 8/7/91—published 4/15/92, effective 5/20/92]</w:t>
      </w:r>
    </w:p>
    <w:p>
      <w:pPr>
        <w:spacing w:before="0" w:after="0"/>
        <w:ind w:left="120"/>
        <w:jc w:val="center"/>
      </w:pPr>
      <w:r>
        <w:rPr>
          <w:rFonts w:ascii="Times New Roman" w:hAnsi="Times New Roman"/>
          <w:b w:val="false"/>
          <w:i w:val="false"/>
          <w:color w:val="000000"/>
          <w:sz w:val="21"/>
        </w:rPr>
        <w:t>[Filed 10/9/92, Notice 4/29/92—published 10/28/92, effective 12/2/92]</w:t>
      </w:r>
    </w:p>
    <w:p>
      <w:pPr>
        <w:spacing w:before="0" w:after="0"/>
        <w:ind w:left="120"/>
        <w:jc w:val="center"/>
      </w:pPr>
      <w:r>
        <w:rPr>
          <w:rFonts w:ascii="Times New Roman" w:hAnsi="Times New Roman"/>
          <w:b w:val="false"/>
          <w:i w:val="false"/>
          <w:color w:val="000000"/>
          <w:sz w:val="21"/>
        </w:rPr>
        <w:t>[Filed 7/27/93, Notice 3/3/93—published 8/18/93, effective 9/22/93]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12/2/93, Notice 9/15/93—published 12/22/93, effective 1/26/94]</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6/28/94, Notice 4/13/94—published 7/20/94, effective 8/24/94]</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9/4/97, Notice 3/12/97—published 9/24/97, effective 10/29/97]</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5/11/00, Notice 10/6/99—published 5/31/00, effective 7/5/00]</w:t>
      </w:r>
    </w:p>
    <w:p>
      <w:pPr>
        <w:spacing w:before="0" w:after="0"/>
        <w:ind w:left="120"/>
        <w:jc w:val="center"/>
      </w:pPr>
      <w:r>
        <w:rPr>
          <w:rFonts w:ascii="Times New Roman" w:hAnsi="Times New Roman"/>
          <w:b w:val="false"/>
          <w:i w:val="false"/>
          <w:color w:val="000000"/>
          <w:sz w:val="21"/>
        </w:rPr>
        <w:t>[Filed 6/22/00, Notice 3/8/00—published 7/12/00, effective 8/16/00]</w:t>
      </w:r>
    </w:p>
    <w:p>
      <w:pPr>
        <w:spacing w:before="0" w:after="0"/>
        <w:ind w:left="120"/>
        <w:jc w:val="center"/>
      </w:pPr>
      <w:r>
        <w:rPr>
          <w:rFonts w:ascii="Times New Roman" w:hAnsi="Times New Roman"/>
          <w:b w:val="false"/>
          <w:i w:val="false"/>
          <w:color w:val="000000"/>
          <w:sz w:val="21"/>
        </w:rPr>
        <w:t>[Filed 1/4/01, Notices 3/8/00, 8/23/00—published 1/24/01, effective 2/28/01]</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9/14/01, Notice 4/18/01—published 10/3/01, effective 11/7/01]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12/27/02, Notice 7/24/02—published 1/22/03, effective 2/26/03]</w:t>
      </w:r>
    </w:p>
    <w:p>
      <w:pPr>
        <w:spacing w:before="0" w:after="0"/>
        <w:ind w:left="120"/>
        <w:jc w:val="center"/>
      </w:pPr>
      <w:r>
        <w:rPr>
          <w:rFonts w:ascii="Times New Roman" w:hAnsi="Times New Roman"/>
          <w:b w:val="false"/>
          <w:i w:val="false"/>
          <w:color w:val="000000"/>
          <w:sz w:val="21"/>
        </w:rPr>
        <w:t>[Filed 7/3/03, Notice 3/5/03—published 7/23/03, effective 8/27/03]</w:t>
      </w:r>
    </w:p>
    <w:p>
      <w:pPr>
        <w:spacing w:before="0" w:after="0"/>
        <w:ind w:left="120"/>
        <w:jc w:val="center"/>
      </w:pPr>
      <w:r>
        <w:rPr>
          <w:rFonts w:ascii="Times New Roman" w:hAnsi="Times New Roman"/>
          <w:b w:val="false"/>
          <w:i w:val="false"/>
          <w:color w:val="000000"/>
          <w:sz w:val="21"/>
        </w:rPr>
        <w:t>[Filed 7/18/03, Notice 2/5/03—published 8/6/03, effective 9/10/03]</w:t>
      </w:r>
    </w:p>
    <w:p>
      <w:pPr>
        <w:spacing w:before="0" w:after="0"/>
        <w:ind w:left="120"/>
        <w:jc w:val="center"/>
      </w:pPr>
      <w:r>
        <w:rPr>
          <w:rFonts w:ascii="Times New Roman" w:hAnsi="Times New Roman"/>
          <w:b w:val="false"/>
          <w:i w:val="false"/>
          <w:color w:val="000000"/>
          <w:sz w:val="21"/>
        </w:rPr>
        <w:t>[Filed 8/29/03, Notice 5/14/03—published 9/17/03, effective 10/22/03]</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1/22/07, Notice 11/8/06—published 2/14/07, effective 3/21/07]</w:t>
      </w:r>
    </w:p>
    <w:p>
      <w:pPr>
        <w:spacing w:before="0" w:after="0"/>
        <w:ind w:left="120"/>
        <w:jc w:val="center"/>
      </w:pPr>
      <w:r>
        <w:rPr>
          <w:rFonts w:ascii="Times New Roman" w:hAnsi="Times New Roman"/>
          <w:b w:val="false"/>
          <w:i w:val="false"/>
          <w:color w:val="000000"/>
          <w:sz w:val="21"/>
        </w:rPr>
        <w:t>[Filed 4/4/07, Notice 9/13/06—published 4/25/07, effective 5/30/07]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7584B</w:t>
      </w:r>
      <w:r>
        <w:rPr>
          <w:rFonts w:ascii="Times New Roman" w:hAnsi="Times New Roman"/>
          <w:b w:val="false"/>
          <w:i w:val="false"/>
          <w:color w:val="000000"/>
          <w:sz w:val="21"/>
        </w:rPr>
        <w:t xml:space="preserve"> (Notice ARC 7420B, IAB 12/17/08)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7976B</w:t>
      </w:r>
      <w:r>
        <w:rPr>
          <w:rFonts w:ascii="Times New Roman" w:hAnsi="Times New Roman"/>
          <w:b w:val="false"/>
          <w:i w:val="false"/>
          <w:color w:val="000000"/>
          <w:sz w:val="21"/>
        </w:rPr>
        <w:t xml:space="preserve"> (Notice ARC 7409B, IAB 12/17/08)</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8394B</w:t>
      </w:r>
      <w:r>
        <w:rPr>
          <w:rFonts w:ascii="Times New Roman" w:hAnsi="Times New Roman"/>
          <w:b w:val="false"/>
          <w:i w:val="false"/>
          <w:color w:val="000000"/>
          <w:sz w:val="21"/>
        </w:rPr>
        <w:t xml:space="preserve"> (Notice ARC 7820B, IAB 6/3/09)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9101B</w:t>
      </w:r>
      <w:r>
        <w:rPr>
          <w:rFonts w:ascii="Times New Roman" w:hAnsi="Times New Roman"/>
          <w:b w:val="false"/>
          <w:i w:val="false"/>
          <w:color w:val="000000"/>
          <w:sz w:val="21"/>
        </w:rPr>
        <w:t xml:space="preserve"> (Notice ARC 8858B, IAB 6/16/10)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9819B</w:t>
      </w:r>
      <w:r>
        <w:rPr>
          <w:rFonts w:ascii="Times New Roman" w:hAnsi="Times New Roman"/>
          <w:b w:val="false"/>
          <w:i w:val="false"/>
          <w:color w:val="000000"/>
          <w:sz w:val="21"/>
        </w:rPr>
        <w:t xml:space="preserve"> (Notice ARC 9614B, IAB 7/13/11)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1953C</w:t>
      </w:r>
      <w:r>
        <w:rPr>
          <w:rFonts w:ascii="Times New Roman" w:hAnsi="Times New Roman"/>
          <w:b w:val="false"/>
          <w:i w:val="false"/>
          <w:color w:val="000000"/>
          <w:sz w:val="21"/>
        </w:rPr>
        <w:t xml:space="preserve"> (Notice ARC 1768C,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4171C</w:t>
      </w:r>
      <w:r>
        <w:rPr>
          <w:rFonts w:ascii="Times New Roman" w:hAnsi="Times New Roman"/>
          <w:b w:val="false"/>
          <w:i w:val="false"/>
          <w:color w:val="000000"/>
          <w:sz w:val="21"/>
        </w:rPr>
        <w:t xml:space="preserve"> (Notice ARC 3726C, IAB 4/11/18)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4720C</w:t>
      </w:r>
      <w:r>
        <w:rPr>
          <w:rFonts w:ascii="Times New Roman" w:hAnsi="Times New Roman"/>
          <w:b w:val="false"/>
          <w:i w:val="false"/>
          <w:color w:val="000000"/>
          <w:sz w:val="21"/>
        </w:rPr>
        <w:t xml:space="preserve"> (Notice ARC 4417C, IAB 5/8/19)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[Editorial change: IAC Supplement 11/20/19]</w:t>
      </w:r>
    </w:p>
    <w:p>
      <w:pPr>
        <w:spacing w:before="0" w:after="0"/>
        <w:ind w:left="120"/>
        <w:jc w:val="center"/>
      </w:pPr>
      <w:r>
        <w:rPr>
          <w:rFonts w:ascii="Times New Roman" w:hAnsi="Times New Roman"/>
          <w:b w:val="false"/>
          <w:i w:val="false"/>
          <w:color w:val="000000"/>
          <w:sz w:val="21"/>
        </w:rPr>
        <w:t>[Filed ARC 5608C</w:t>
      </w:r>
      <w:r>
        <w:rPr>
          <w:rFonts w:ascii="Times New Roman" w:hAnsi="Times New Roman"/>
          <w:b w:val="false"/>
          <w:i w:val="false"/>
          <w:color w:val="000000"/>
          <w:sz w:val="21"/>
        </w:rPr>
        <w:t xml:space="preserve"> (Notice ARC 5267C, IAB 11/4/20)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6021C</w:t>
      </w:r>
      <w:r>
        <w:rPr>
          <w:rFonts w:ascii="Times New Roman" w:hAnsi="Times New Roman"/>
          <w:b w:val="false"/>
          <w:i w:val="false"/>
          <w:color w:val="000000"/>
          <w:sz w:val="21"/>
        </w:rPr>
        <w:t xml:space="preserve"> (Notice ARC 5475C, IAB 2/24/21)</w:t>
      </w:r>
      <w:r>
        <w:rPr>
          <w:rFonts w:ascii="Times New Roman" w:hAnsi="Times New Roman"/>
          <w:b w:val="false"/>
          <w:i w:val="false"/>
          <w:color w:val="000000"/>
          <w:sz w:val="21"/>
        </w:rPr>
        <w:t>, IAB 11/3/21, effective 12/8/21]</w:t>
      </w:r>
    </w:p>
    <w:p>
      <w:pPr>
        <w:pBdr>
          <w:bottom w:space="2"/>
        </w:pBdr>
        <w:spacing w:before="0" w:after="0"/>
        <w:ind w:left="120"/>
        <w:jc w:val="both"/>
      </w:pPr>
      <w:r>
        <w:rPr>
          <w:rFonts w:ascii="Times New Roman" w:hAnsi="Times New Roman"/>
          <w:b w:val="false"/>
          <w:i w:val="false"/>
          <w:color w:val="000000"/>
          <w:sz w:val="22"/>
        </w:rPr>
        <w:t xml:space="preserve">Effective date of 20.3(13) </w:t>
      </w:r>
      <w:r>
        <w:rPr>
          <w:rFonts w:ascii="Times New Roman" w:hAnsi="Times New Roman"/>
          <w:b w:val="false"/>
          <w:i/>
          <w:color w:val="000000"/>
          <w:sz w:val="22"/>
        </w:rPr>
        <w:t xml:space="preserve">“a,” “b,” </w:t>
      </w:r>
      <w:r>
        <w:rPr>
          <w:rFonts w:ascii="Times New Roman" w:hAnsi="Times New Roman"/>
          <w:b w:val="false"/>
          <w:i w:val="false"/>
          <w:color w:val="000000"/>
          <w:sz w:val="22"/>
        </w:rPr>
        <w:t xml:space="preserve">(1), (2), (3), (4), and </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20.4(12), third unnumbered paragraph, delayed seventy days by the Administrative Rules Review Committee.</w:t>
      </w:r>
    </w:p>
    <w:p>
      <w:pPr>
        <w:pBdr>
          <w:bottom w:space="2"/>
        </w:pBdr>
        <w:spacing w:before="0" w:after="0"/>
        <w:ind w:left="120"/>
        <w:jc w:val="both"/>
      </w:pPr>
      <w:r>
        <w:rPr>
          <w:rFonts w:ascii="Times New Roman" w:hAnsi="Times New Roman"/>
          <w:b w:val="false"/>
          <w:i w:val="false"/>
          <w:color w:val="000000"/>
          <w:sz w:val="22"/>
        </w:rPr>
        <w:t>See IAB, Utilities Division.</w:t>
      </w:r>
    </w:p>
    <w:p>
      <w:pPr>
        <w:pBdr>
          <w:bottom w:space="2"/>
        </w:pBdr>
        <w:spacing w:before="0" w:after="0"/>
        <w:ind w:left="120"/>
        <w:jc w:val="both"/>
      </w:pPr>
      <w:r>
        <w:rPr>
          <w:rFonts w:ascii="Times New Roman" w:hAnsi="Times New Roman"/>
          <w:b w:val="false"/>
          <w:i w:val="false"/>
          <w:color w:val="000000"/>
          <w:sz w:val="22"/>
        </w:rPr>
        <w:t>Published in Notice portion of IAB 9/10/86; see IAB 10/22/86</w:t>
      </w:r>
    </w:p>
    <w:p>
      <w:pPr>
        <w:pBdr>
          <w:bottom w:space="2"/>
        </w:pBdr>
        <w:spacing w:before="0" w:after="0"/>
        <w:ind w:left="120"/>
        <w:jc w:val="both"/>
      </w:pPr>
      <w:r>
        <w:rPr>
          <w:rFonts w:ascii="Times New Roman" w:hAnsi="Times New Roman"/>
          <w:b w:val="false"/>
          <w:i w:val="false"/>
          <w:color w:val="000000"/>
          <w:sz w:val="22"/>
        </w:rPr>
        <w:t xml:space="preserve">Effective date of 20.4(4) delayed until the adjournment of the 1994 Session of the General Assembly pursuant to Iowa Code section </w:t>
      </w:r>
      <w:hyperlink r:id="rId147">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8.pdf" Type="http://schemas.openxmlformats.org/officeDocument/2006/relationships/hyperlink" Id="rId6"/>
    <Relationship TargetMode="External" Target="https://www.legis.iowa.gov/docs/ico/chapter/476.1A.pdf" Type="http://schemas.openxmlformats.org/officeDocument/2006/relationships/hyperlink" Id="rId7"/>
    <Relationship TargetMode="External" Target="https://www.legis.iowa.gov/docs/iac/chapter/199.27.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ac/rule/199.1.3.pdf" Type="http://schemas.openxmlformats.org/officeDocument/2006/relationships/hyperlink" Id="rId11"/>
    <Relationship TargetMode="External" Target="https://www.legis.iowa.gov/docs/iac/rule/199.20.1.pdf" Type="http://schemas.openxmlformats.org/officeDocument/2006/relationships/hyperlink" Id="rId12"/>
    <Relationship TargetMode="External" Target="https://www.legis.iowa.gov/docs/ico/chapter/476.pdf" Type="http://schemas.openxmlformats.org/officeDocument/2006/relationships/hyperlink" Id="rId13"/>
    <Relationship TargetMode="External" Target="https://www.legis.iowa.gov/docs/iac/chapter/199.18.pdf" Type="http://schemas.openxmlformats.org/officeDocument/2006/relationships/hyperlink" Id="rId14"/>
    <Relationship TargetMode="External" Target="https://www.legis.iowa.gov/docs/ico/chapter/476.pdf" Type="http://schemas.openxmlformats.org/officeDocument/2006/relationships/hyperlink" Id="rId15"/>
    <Relationship TargetMode="External" Target="https://www.legis.iowa.gov/docs/iac/rule/199.20.3.pdf" Type="http://schemas.openxmlformats.org/officeDocument/2006/relationships/hyperlink" Id="rId16"/>
    <Relationship TargetMode="External" Target="https://www.legis.iowa.gov/docs/iac/rule/199.20.3.pdf" Type="http://schemas.openxmlformats.org/officeDocument/2006/relationships/hyperlink" Id="rId17"/>
    <Relationship TargetMode="External" Target="https://www.legis.iowa.gov/docs/iac/rule/199.25.5.pdf" Type="http://schemas.openxmlformats.org/officeDocument/2006/relationships/hyperlink" Id="rId18"/>
    <Relationship TargetMode="External" Target="https://www.legis.iowa.gov/docs/iac/rule/199.23.1.pdf" Type="http://schemas.openxmlformats.org/officeDocument/2006/relationships/hyperlink" Id="rId19"/>
    <Relationship TargetMode="External" Target="https://www.legis.iowa.gov/docs/ico/chapter/476.2.pdf" Type="http://schemas.openxmlformats.org/officeDocument/2006/relationships/hyperlink" Id="rId20"/>
    <Relationship TargetMode="External" Target="https://www.legis.iowa.gov/docs/iac/rule/199.20.3.pdf" Type="http://schemas.openxmlformats.org/officeDocument/2006/relationships/hyperlink" Id="rId21"/>
    <Relationship TargetMode="External" Target="https://www.legis.iowa.gov/docs/iac/rule/199.1.3.pdf" Type="http://schemas.openxmlformats.org/officeDocument/2006/relationships/hyperlink" Id="rId22"/>
    <Relationship TargetMode="External" Target="https://www.legis.iowa.gov/docs/ico/chapter/476.25.pdf" Type="http://schemas.openxmlformats.org/officeDocument/2006/relationships/hyperlink" Id="rId23"/>
    <Relationship TargetMode="External" Target="https://www.legis.iowa.gov/docs/iac/rule/199.14.8.pdf" Type="http://schemas.openxmlformats.org/officeDocument/2006/relationships/hyperlink" Id="rId24"/>
    <Relationship TargetMode="External" Target="https://www.legis.iowa.gov/docs/iac/rule/199.20.3.pdf" Type="http://schemas.openxmlformats.org/officeDocument/2006/relationships/hyperlink" Id="rId25"/>
    <Relationship TargetMode="External" Target="https://www.legis.iowa.gov/docs/iac/chapter/199.14.pdf" Type="http://schemas.openxmlformats.org/officeDocument/2006/relationships/hyperlink" Id="rId26"/>
    <Relationship TargetMode="External" Target="https://www.legis.iowa.gov/docs/iac/rule/199.7.9.pdf" Type="http://schemas.openxmlformats.org/officeDocument/2006/relationships/hyperlink" Id="rId27"/>
    <Relationship TargetMode="External" Target="https://www.legis.iowa.gov/docs/ico/chapter/476.25.pdf" Type="http://schemas.openxmlformats.org/officeDocument/2006/relationships/hyperlink" Id="rId28"/>
    <Relationship TargetMode="External" Target="https://www.legis.iowa.gov/docs/iac/rule/199.20.3.pdf" Type="http://schemas.openxmlformats.org/officeDocument/2006/relationships/hyperlink" Id="rId29"/>
    <Relationship TargetMode="External" Target="https://www.legis.iowa.gov/docs/ico/chapter/476.23.pdf" Type="http://schemas.openxmlformats.org/officeDocument/2006/relationships/hyperlink" Id="rId30"/>
    <Relationship TargetMode="External" Target="https://www.legis.iowa.gov/docs/ico/chapter/476.24.pdf" Type="http://schemas.openxmlformats.org/officeDocument/2006/relationships/hyperlink" Id="rId31"/>
    <Relationship TargetMode="External" Target="https://www.legis.iowa.gov/docs/iac/rule/199.20.1.pdf" Type="http://schemas.openxmlformats.org/officeDocument/2006/relationships/hyperlink" Id="rId32"/>
    <Relationship TargetMode="External" Target="https://www.legis.iowa.gov/docs/iac/rule/199.20.1.pdf" Type="http://schemas.openxmlformats.org/officeDocument/2006/relationships/hyperlink" Id="rId33"/>
    <Relationship TargetMode="External" Target="https://www.legis.iowa.gov/docs/ico/chapter/476.8.pdf" Type="http://schemas.openxmlformats.org/officeDocument/2006/relationships/hyperlink" Id="rId34"/>
    <Relationship TargetMode="External" Target="https://www.legis.iowa.gov/docs/iac/rule/199.26.2.pdf" Type="http://schemas.openxmlformats.org/officeDocument/2006/relationships/hyperlink" Id="rId35"/>
    <Relationship TargetMode="External" Target="mailto:customer@iub.iowa.gov" Type="http://schemas.openxmlformats.org/officeDocument/2006/relationships/hyperlink" Id="rId36"/>
    <Relationship TargetMode="External" Target="https://www.legis.iowa.gov/docs/iac/rule/199.20.4.pdf" Type="http://schemas.openxmlformats.org/officeDocument/2006/relationships/hyperlink" Id="rId37"/>
    <Relationship TargetMode="External" Target="https://www.legis.iowa.gov/docs/ico/chapter/556.4.pdf" Type="http://schemas.openxmlformats.org/officeDocument/2006/relationships/hyperlink" Id="rId38"/>
    <Relationship TargetMode="External" Target="https://www.legis.iowa.gov/docs/ico/chapter/556.11.pdf" Type="http://schemas.openxmlformats.org/officeDocument/2006/relationships/hyperlink" Id="rId39"/>
    <Relationship TargetMode="External" Target="https://www.legis.iowa.gov/docs/iac/rule/199.20.4.pdf" Type="http://schemas.openxmlformats.org/officeDocument/2006/relationships/hyperlink" Id="rId40"/>
    <Relationship TargetMode="External" Target="https://www.legis.iowa.gov/docs/iac/rule/199.20.4.pdf" Type="http://schemas.openxmlformats.org/officeDocument/2006/relationships/hyperlink" Id="rId41"/>
    <Relationship TargetMode="External" Target="https://www.legis.iowa.gov/docs/iac/rule/199.20.3.pdf" Type="http://schemas.openxmlformats.org/officeDocument/2006/relationships/hyperlink" Id="rId42"/>
    <Relationship TargetMode="External" Target="https://www.legis.iowa.gov/docs/iac/rule/199.20.4.pdf" Type="http://schemas.openxmlformats.org/officeDocument/2006/relationships/hyperlink" Id="rId43"/>
    <Relationship TargetMode="External" Target="https://www.legis.iowa.gov/docs/iac/rule/199.20.6.pdf" Type="http://schemas.openxmlformats.org/officeDocument/2006/relationships/hyperlink" Id="rId44"/>
    <Relationship TargetMode="External" Target="https://www.legis.iowa.gov/docs/iac/rule/199.20.1.pdf" Type="http://schemas.openxmlformats.org/officeDocument/2006/relationships/hyperlink" Id="rId45"/>
    <Relationship TargetMode="External" Target="https://www.legis.iowa.gov/docs/iac/rule/199.20.4.pdf" Type="http://schemas.openxmlformats.org/officeDocument/2006/relationships/hyperlink" Id="rId46"/>
    <Relationship TargetMode="External" Target="https://www.legis.iowa.gov/docs/iac/rule/199.20.3.pdf" Type="http://schemas.openxmlformats.org/officeDocument/2006/relationships/hyperlink" Id="rId47"/>
    <Relationship TargetMode="External" Target="https://www.legis.iowa.gov/docs/iac/rule/199.20.4.pdf" Type="http://schemas.openxmlformats.org/officeDocument/2006/relationships/hyperlink" Id="rId48"/>
    <Relationship TargetMode="External" Target="https://www.legis.iowa.gov/docs/iac/rule/199.20.4.pdf" Type="http://schemas.openxmlformats.org/officeDocument/2006/relationships/hyperlink" Id="rId49"/>
    <Relationship TargetMode="External" Target="https://www.legis.iowa.gov/docs/iac/rule/199.20.3.pdf" Type="http://schemas.openxmlformats.org/officeDocument/2006/relationships/hyperlink" Id="rId50"/>
    <Relationship TargetMode="External" Target="https://www.legis.iowa.gov/docs/ico/chapter/476.1.pdf" Type="http://schemas.openxmlformats.org/officeDocument/2006/relationships/hyperlink" Id="rId51"/>
    <Relationship TargetMode="External" Target="https://humanrights.iowa.gov/dcaa/" Type="http://schemas.openxmlformats.org/officeDocument/2006/relationships/hyperlink" Id="rId52"/>
    <Relationship TargetMode="External" Target="mailto:customer@iub.iowa.gov" Type="http://schemas.openxmlformats.org/officeDocument/2006/relationships/hyperlink" Id="rId53"/>
    <Relationship TargetMode="External" Target="https://www.legis.iowa.gov/docs/iac/rule/199.20.4.pdf" Type="http://schemas.openxmlformats.org/officeDocument/2006/relationships/hyperlink" Id="rId54"/>
    <Relationship TargetMode="External" Target="https://www.legis.iowa.gov/docs/iac/rule/199.20.4.pdf" Type="http://schemas.openxmlformats.org/officeDocument/2006/relationships/hyperlink" Id="rId55"/>
    <Relationship TargetMode="External" Target="https://www.legis.iowa.gov/docs/iac/chapter/199.6.pdf" Type="http://schemas.openxmlformats.org/officeDocument/2006/relationships/hyperlink" Id="rId56"/>
    <Relationship TargetMode="External" Target="https://www.legis.iowa.gov/docs/iac/rule/199.20.4.pdf" Type="http://schemas.openxmlformats.org/officeDocument/2006/relationships/hyperlink" Id="rId57"/>
    <Relationship TargetMode="External" Target="https://www.legis.iowa.gov/docs/ico/chapter/476.20.pdf" Type="http://schemas.openxmlformats.org/officeDocument/2006/relationships/hyperlink" Id="rId58"/>
    <Relationship TargetMode="External" Target="https://www.legis.iowa.gov/docs/ico/chapter/29A.90.pdf" Type="http://schemas.openxmlformats.org/officeDocument/2006/relationships/hyperlink" Id="rId59"/>
    <Relationship TargetMode="External" Target="https://www.legis.iowa.gov/docs/iac/rule/199.20.4.pdf" Type="http://schemas.openxmlformats.org/officeDocument/2006/relationships/hyperlink" Id="rId60"/>
    <Relationship TargetMode="External" Target="https://www.legis.iowa.gov/docs/iac/rule/199.20.4.pdf" Type="http://schemas.openxmlformats.org/officeDocument/2006/relationships/hyperlink" Id="rId61"/>
    <Relationship TargetMode="External" Target="https://www.legis.iowa.gov/docs/ico/chapter/476.20.pdf" Type="http://schemas.openxmlformats.org/officeDocument/2006/relationships/hyperlink" Id="rId62"/>
    <Relationship TargetMode="External" Target="https://www.legis.iowa.gov/docs/ico/chapter/29A.90.pdf" Type="http://schemas.openxmlformats.org/officeDocument/2006/relationships/hyperlink" Id="rId63"/>
    <Relationship TargetMode="External" Target="https://www.legis.iowa.gov/docs/iac/rule/199.20.4.pdf" Type="http://schemas.openxmlformats.org/officeDocument/2006/relationships/hyperlink" Id="rId64"/>
    <Relationship TargetMode="External" Target="https://www.legis.iowa.gov/docs/ico/chapter/476.6.pdf" Type="http://schemas.openxmlformats.org/officeDocument/2006/relationships/hyperlink" Id="rId65"/>
    <Relationship TargetMode="External" Target="https://www.legis.iowa.gov/docs/ico/chapter/476.8.pdf" Type="http://schemas.openxmlformats.org/officeDocument/2006/relationships/hyperlink" Id="rId66"/>
    <Relationship TargetMode="External" Target="https://www.legis.iowa.gov/docs/ico/chapter/476.20.pdf" Type="http://schemas.openxmlformats.org/officeDocument/2006/relationships/hyperlink" Id="rId67"/>
    <Relationship TargetMode="External" Target="https://www.legis.iowa.gov/docs/ico/chapter/476.54.pdf" Type="http://schemas.openxmlformats.org/officeDocument/2006/relationships/hyperlink" Id="rId68"/>
    <Relationship TargetMode="External" Target="https://www.legis.iowa.gov/docs/iac/chapter/199.25.pdf" Type="http://schemas.openxmlformats.org/officeDocument/2006/relationships/hyperlink" Id="rId69"/>
    <Relationship TargetMode="External" Target="https://www.legis.iowa.gov/docs/iac/rule/199.42.6.pdf" Type="http://schemas.openxmlformats.org/officeDocument/2006/relationships/hyperlink" Id="rId70"/>
    <Relationship TargetMode="External" Target="https://www.legis.iowa.gov/docs/ico/chapter/476.8.pdf" Type="http://schemas.openxmlformats.org/officeDocument/2006/relationships/hyperlink" Id="rId71"/>
    <Relationship TargetMode="External" Target="https://www.legis.iowa.gov/docs/ico/chapter/478.18.pdf" Type="http://schemas.openxmlformats.org/officeDocument/2006/relationships/hyperlink" Id="rId72"/>
    <Relationship TargetMode="External" Target="https://www.legis.iowa.gov/docs/iac/rule/199.20.6.pdf" Type="http://schemas.openxmlformats.org/officeDocument/2006/relationships/hyperlink" Id="rId73"/>
    <Relationship TargetMode="External" Target="https://www.legis.iowa.gov/docs/iac/rule/199.20.4.pdf" Type="http://schemas.openxmlformats.org/officeDocument/2006/relationships/hyperlink" Id="rId74"/>
    <Relationship TargetMode="External" Target="https://www.legis.iowa.gov/docs/iac/rule/199.20.6.pdf" Type="http://schemas.openxmlformats.org/officeDocument/2006/relationships/hyperlink" Id="rId75"/>
    <Relationship TargetMode="External" Target="https://www.legis.iowa.gov/docs/iac/rule/199.20.5.pdf" Type="http://schemas.openxmlformats.org/officeDocument/2006/relationships/hyperlink" Id="rId76"/>
    <Relationship TargetMode="External" Target="https://www.legis.iowa.gov/docs/iac/rule/199.20.7.pdf" Type="http://schemas.openxmlformats.org/officeDocument/2006/relationships/hyperlink" Id="rId77"/>
    <Relationship TargetMode="External" Target="https://www.legis.iowa.gov/docs/iac/rule/199.20.7.pdf" Type="http://schemas.openxmlformats.org/officeDocument/2006/relationships/hyperlink" Id="rId78"/>
    <Relationship TargetMode="External" Target="https://www.legis.iowa.gov/docs/iac/rule/199.20.7.pdf" Type="http://schemas.openxmlformats.org/officeDocument/2006/relationships/hyperlink" Id="rId79"/>
    <Relationship TargetMode="External" Target="https://www.legis.iowa.gov/docs/iac/rule/199.20.5.pdf" Type="http://schemas.openxmlformats.org/officeDocument/2006/relationships/hyperlink" Id="rId80"/>
    <Relationship TargetMode="External" Target="https://www.legis.iowa.gov/docs/iac/rule/199.20.5.pdf" Type="http://schemas.openxmlformats.org/officeDocument/2006/relationships/hyperlink" Id="rId81"/>
    <Relationship TargetMode="External" Target="https://www.legis.iowa.gov/docs/ico/chapter/476.2.pdf" Type="http://schemas.openxmlformats.org/officeDocument/2006/relationships/hyperlink" Id="rId82"/>
    <Relationship TargetMode="External" Target="https://www.legis.iowa.gov/docs/ico/chapter/476.8.pdf" Type="http://schemas.openxmlformats.org/officeDocument/2006/relationships/hyperlink" Id="rId83"/>
    <Relationship TargetMode="External" Target="https://www.legis.iowa.gov/docs/iac/rule/199.25.5.pdf" Type="http://schemas.openxmlformats.org/officeDocument/2006/relationships/hyperlink" Id="rId84"/>
    <Relationship TargetMode="External" Target="https://www.legis.iowa.gov/docs/iac/rule/199.20.5.pdf" Type="http://schemas.openxmlformats.org/officeDocument/2006/relationships/hyperlink" Id="rId85"/>
    <Relationship TargetMode="External" Target="https://www.legis.iowa.gov/docs/iac/rule/199.20.9.pdf" Type="http://schemas.openxmlformats.org/officeDocument/2006/relationships/hyperlink" Id="rId86"/>
    <Relationship TargetMode="External" Target="https://www.legis.iowa.gov/docs/iac/rule/199.15.11.pdf" Type="http://schemas.openxmlformats.org/officeDocument/2006/relationships/hyperlink" Id="rId87"/>
    <Relationship TargetMode="External" Target="https://www.legis.iowa.gov/docs/iac/rule/199.20.17.pdf" Type="http://schemas.openxmlformats.org/officeDocument/2006/relationships/hyperlink" Id="rId88"/>
    <Relationship TargetMode="External" Target="https://www.legis.iowa.gov/docs/iac/rule/199.15.17.pdf" Type="http://schemas.openxmlformats.org/officeDocument/2006/relationships/hyperlink" Id="rId89"/>
    <Relationship TargetMode="External" Target="https://www.legis.iowa.gov/docs/iac/rule/199.20.9.pdf" Type="http://schemas.openxmlformats.org/officeDocument/2006/relationships/hyperlink" Id="rId90"/>
    <Relationship TargetMode="External" Target="https://www.legis.iowa.gov/docs/iac/rule/199.20.9.pdf" Type="http://schemas.openxmlformats.org/officeDocument/2006/relationships/hyperlink" Id="rId91"/>
    <Relationship TargetMode="External" Target="https://www.legis.iowa.gov/docs/iac/rule/199.20.9.pdf" Type="http://schemas.openxmlformats.org/officeDocument/2006/relationships/hyperlink" Id="rId92"/>
    <Relationship TargetMode="External" Target="https://www.legis.iowa.gov/docs/iac/rule/199.35.9.pdf" Type="http://schemas.openxmlformats.org/officeDocument/2006/relationships/hyperlink" Id="rId93"/>
    <Relationship TargetMode="External" Target="https://www.legis.iowa.gov/docs/ico/chapter/476.17.pdf" Type="http://schemas.openxmlformats.org/officeDocument/2006/relationships/hyperlink" Id="rId94"/>
    <Relationship TargetMode="External" Target="https://www.legis.iowa.gov/docs/ico/chapter/476.6.pdf" Type="http://schemas.openxmlformats.org/officeDocument/2006/relationships/hyperlink" Id="rId95"/>
    <Relationship TargetMode="External" Target="https://www.legis.iowa.gov/docs/iac/rule/199.20.13.pdf" Type="http://schemas.openxmlformats.org/officeDocument/2006/relationships/hyperlink" Id="rId96"/>
    <Relationship TargetMode="External" Target="https://www.legis.iowa.gov/docs/iac/rule/199.20.13.pdf" Type="http://schemas.openxmlformats.org/officeDocument/2006/relationships/hyperlink" Id="rId97"/>
    <Relationship TargetMode="External" Target="https://www.legis.iowa.gov/docs/iac/rule/199.20.13.pdf" Type="http://schemas.openxmlformats.org/officeDocument/2006/relationships/hyperlink" Id="rId98"/>
    <Relationship TargetMode="External" Target="https://www.legis.iowa.gov/docs/iac/rule/199.20.13.pdf" Type="http://schemas.openxmlformats.org/officeDocument/2006/relationships/hyperlink" Id="rId99"/>
    <Relationship TargetMode="External" Target="https://www.legis.iowa.gov/docs/iac/rule/199.20.13.pdf" Type="http://schemas.openxmlformats.org/officeDocument/2006/relationships/hyperlink" Id="rId100"/>
    <Relationship TargetMode="External" Target="https://www.legis.iowa.gov/docs/ico/chapter/476.1.pdf" Type="http://schemas.openxmlformats.org/officeDocument/2006/relationships/hyperlink" Id="rId101"/>
    <Relationship TargetMode="External" Target="https://www.legis.iowa.gov/docs/ico/chapter/476.1A.pdf" Type="http://schemas.openxmlformats.org/officeDocument/2006/relationships/hyperlink" Id="rId102"/>
    <Relationship TargetMode="External" Target="https://www.legis.iowa.gov/docs/ico/chapter/476.1B.pdf" Type="http://schemas.openxmlformats.org/officeDocument/2006/relationships/hyperlink" Id="rId103"/>
    <Relationship TargetMode="External" Target="https://www.legis.iowa.gov/docs/ico/chapter/476.66.pdf" Type="http://schemas.openxmlformats.org/officeDocument/2006/relationships/hyperlink" Id="rId104"/>
    <Relationship TargetMode="External" Target="https://www.legis.iowa.gov/docs/iac/chapter/199.23.pdf" Type="http://schemas.openxmlformats.org/officeDocument/2006/relationships/hyperlink" Id="rId105"/>
    <Relationship TargetMode="External" Target="https://www.legis.iowa.gov/docs/iac/rule/199.20.9.pdf" Type="http://schemas.openxmlformats.org/officeDocument/2006/relationships/hyperlink" Id="rId106"/>
    <Relationship TargetMode="External" Target="https://www.legis.iowa.gov/docs/iac/rule/199.20.9.pdf" Type="http://schemas.openxmlformats.org/officeDocument/2006/relationships/hyperlink" Id="rId107"/>
    <Relationship TargetMode="External" Target="https://www.legis.iowa.gov/docs/iac/rule/199.20.9.pdf" Type="http://schemas.openxmlformats.org/officeDocument/2006/relationships/hyperlink" Id="rId108"/>
    <Relationship TargetMode="External" Target="https://www.legis.iowa.gov/docs/iac/rule/199.20.9.pdf" Type="http://schemas.openxmlformats.org/officeDocument/2006/relationships/hyperlink" Id="rId109"/>
    <Relationship TargetMode="External" Target="https://www.legis.iowa.gov/docs/ico/chapter/476.pdf" Type="http://schemas.openxmlformats.org/officeDocument/2006/relationships/hyperlink" Id="rId110"/>
    <Relationship TargetMode="External" Target="https://www.legis.iowa.gov/docs/iac/rule/199.20.18.pdf" Type="http://schemas.openxmlformats.org/officeDocument/2006/relationships/hyperlink" Id="rId111"/>
    <Relationship TargetMode="External" Target="https://www.legis.iowa.gov/docs/ico/chapter/478.pdf" Type="http://schemas.openxmlformats.org/officeDocument/2006/relationships/hyperlink" Id="rId112"/>
    <Relationship TargetMode="External" Target="https://www.legis.iowa.gov/docs/iac/rule/199.1.3.pdf" Type="http://schemas.openxmlformats.org/officeDocument/2006/relationships/hyperlink" Id="rId113"/>
    <Relationship TargetMode="External" Target="https://www.legis.iowa.gov/docs/iac/rule/199.20.18.pdf" Type="http://schemas.openxmlformats.org/officeDocument/2006/relationships/hyperlink" Id="rId114"/>
    <Relationship TargetMode="External" Target="https://www.legis.iowa.gov/docs/iac/rule/199.20.18.pdf" Type="http://schemas.openxmlformats.org/officeDocument/2006/relationships/hyperlink" Id="rId115"/>
    <Relationship TargetMode="External" Target="https://www.legis.iowa.gov/docs/iac/rule/199.20.19.pdf" Type="http://schemas.openxmlformats.org/officeDocument/2006/relationships/hyperlink" Id="rId116"/>
    <Relationship TargetMode="External" Target="https://www.legis.iowa.gov/docs/iac/rule/199.20.18.pdf" Type="http://schemas.openxmlformats.org/officeDocument/2006/relationships/hyperlink" Id="rId117"/>
    <Relationship TargetMode="External" Target="https://www.legis.iowa.gov/docs/iac/rule/199.20.18.pdf" Type="http://schemas.openxmlformats.org/officeDocument/2006/relationships/hyperlink" Id="rId118"/>
    <Relationship TargetMode="External" Target="https://www.legis.iowa.gov/docs/iac/rule/199.20.18.pdf" Type="http://schemas.openxmlformats.org/officeDocument/2006/relationships/hyperlink" Id="rId119"/>
    <Relationship TargetMode="External" Target="https://www.legis.iowa.gov/docs/iac/rule/199.20.18.pdf" Type="http://schemas.openxmlformats.org/officeDocument/2006/relationships/hyperlink" Id="rId120"/>
    <Relationship TargetMode="External" Target="https://www.legis.iowa.gov/docs/iac/rule/199.20.18.pdf" Type="http://schemas.openxmlformats.org/officeDocument/2006/relationships/hyperlink" Id="rId121"/>
    <Relationship TargetMode="External" Target="https://www.legis.iowa.gov/docs/iac/rule/199.20.19.pdf" Type="http://schemas.openxmlformats.org/officeDocument/2006/relationships/hyperlink" Id="rId122"/>
    <Relationship TargetMode="External" Target="https://www.legis.iowa.gov/docs/iac/rule/199.20.19.pdf" Type="http://schemas.openxmlformats.org/officeDocument/2006/relationships/hyperlink" Id="rId123"/>
    <Relationship TargetMode="External" Target="https://www.legis.iowa.gov/docs/iac/rule/199.20.18.pdf" Type="http://schemas.openxmlformats.org/officeDocument/2006/relationships/hyperlink" Id="rId124"/>
    <Relationship TargetMode="External" Target="https://www.legis.iowa.gov/docs/iac/rule/199.20.19.pdf" Type="http://schemas.openxmlformats.org/officeDocument/2006/relationships/hyperlink" Id="rId125"/>
    <Relationship TargetMode="External" Target="https://www.legis.iowa.gov/docs/iac/rule/199.20.19.pdf" Type="http://schemas.openxmlformats.org/officeDocument/2006/relationships/hyperlink" Id="rId126"/>
    <Relationship TargetMode="External" Target="mailto:dutyofficer@iub.iowa.gov" Type="http://schemas.openxmlformats.org/officeDocument/2006/relationships/hyperlink" Id="rId127"/>
    <Relationship TargetMode="External" Target="https://www.legis.iowa.gov/docs/iac/rule/199.20.19.pdf" Type="http://schemas.openxmlformats.org/officeDocument/2006/relationships/hyperlink" Id="rId128"/>
    <Relationship TargetMode="External" Target="https://www.legis.iowa.gov/docs/ico/chapter/476.1.pdf" Type="http://schemas.openxmlformats.org/officeDocument/2006/relationships/hyperlink" Id="rId129"/>
    <Relationship TargetMode="External" Target="https://www.legis.iowa.gov/docs/ico/chapter/476.25.pdf" Type="http://schemas.openxmlformats.org/officeDocument/2006/relationships/hyperlink" Id="rId130"/>
    <Relationship TargetMode="External" Target="https://www.legis.iowa.gov/docs/ico/chapter/476.6.pdf" Type="http://schemas.openxmlformats.org/officeDocument/2006/relationships/hyperlink" Id="rId131"/>
    <Relationship TargetMode="External" Target="https://www.legis.iowa.gov/docs/iac/rule/199.20.21.pdf" Type="http://schemas.openxmlformats.org/officeDocument/2006/relationships/hyperlink" Id="rId132"/>
    <Relationship TargetMode="External" Target="https://www.legis.iowa.gov/docs/iac/rule/199.20.21.pdf" Type="http://schemas.openxmlformats.org/officeDocument/2006/relationships/hyperlink" Id="rId133"/>
    <Relationship TargetMode="External" Target="https://www.legis.iowa.gov/docs/iac/rule/199.20.21.pdf" Type="http://schemas.openxmlformats.org/officeDocument/2006/relationships/hyperlink" Id="rId134"/>
    <Relationship TargetMode="External" Target="https://www.legis.iowa.gov/docs/ico/chapter/17A.3.pdf" Type="http://schemas.openxmlformats.org/officeDocument/2006/relationships/hyperlink" Id="rId135"/>
    <Relationship TargetMode="External" Target="https://www.legis.iowa.gov/docs/ico/chapter/364.23.pdf" Type="http://schemas.openxmlformats.org/officeDocument/2006/relationships/hyperlink" Id="rId136"/>
    <Relationship TargetMode="External" Target="https://www.legis.iowa.gov/docs/ico/chapter/474.5.pdf" Type="http://schemas.openxmlformats.org/officeDocument/2006/relationships/hyperlink" Id="rId137"/>
    <Relationship TargetMode="External" Target="https://www.legis.iowa.gov/docs/ico/chapter/476.1.pdf" Type="http://schemas.openxmlformats.org/officeDocument/2006/relationships/hyperlink" Id="rId138"/>
    <Relationship TargetMode="External" Target="https://www.legis.iowa.gov/docs/ico/chapter/476.2.pdf" Type="http://schemas.openxmlformats.org/officeDocument/2006/relationships/hyperlink" Id="rId139"/>
    <Relationship TargetMode="External" Target="https://www.legis.iowa.gov/docs/ico/chapter/476.6.pdf" Type="http://schemas.openxmlformats.org/officeDocument/2006/relationships/hyperlink" Id="rId140"/>
    <Relationship TargetMode="External" Target="https://www.legis.iowa.gov/docs/ico/chapter/476.8.pdf" Type="http://schemas.openxmlformats.org/officeDocument/2006/relationships/hyperlink" Id="rId141"/>
    <Relationship TargetMode="External" Target="https://www.legis.iowa.gov/docs/ico/chapter/476.20.pdf" Type="http://schemas.openxmlformats.org/officeDocument/2006/relationships/hyperlink" Id="rId142"/>
    <Relationship TargetMode="External" Target="https://www.legis.iowa.gov/docs/ico/chapter/476.54.pdf" Type="http://schemas.openxmlformats.org/officeDocument/2006/relationships/hyperlink" Id="rId143"/>
    <Relationship TargetMode="External" Target="https://www.legis.iowa.gov/docs/ico/chapter/476.66.pdf" Type="http://schemas.openxmlformats.org/officeDocument/2006/relationships/hyperlink" Id="rId144"/>
    <Relationship TargetMode="External" Target="https://www.legis.iowa.gov/docs/ico/chapter/478.18.pdf" Type="http://schemas.openxmlformats.org/officeDocument/2006/relationships/hyperlink" Id="rId145"/>
    <Relationship TargetMode="External" Target="https://www.legis.iowa.gov/docs/ico/chapter/546.7.pdf" Type="http://schemas.openxmlformats.org/officeDocument/2006/relationships/hyperlink" Id="rId146"/>
    <Relationship TargetMode="External" Target="https://www.legis.iowa.gov/docs/ico/chapter/17A.8.pdf" Type="http://schemas.openxmlformats.org/officeDocument/2006/relationships/hyperlink" Id="rId1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