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SERVICE SUPPLIED BY GAS UTILITIES</w:t>
      </w:r>
    </w:p>
    <w:p>
      <w:pPr>
        <w:spacing w:before="0" w:after="0"/>
        <w:ind w:left="120"/>
        <w:jc w:val="center"/>
      </w:pPr>
      <w:r>
        <w:rPr>
          <w:rFonts w:ascii="Times New Roman" w:hAnsi="Times New Roman"/>
          <w:b w:val="false"/>
          <w:i w:val="false"/>
          <w:color w:val="000000"/>
          <w:sz w:val="14"/>
        </w:rPr>
        <w:t>[Prior to 10/8/86, Commerce Commission [250]]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199—19.1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rules.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provides that the Iowa utilities commission shall establish all needful, just and reasonable rules, not inconsistent with law, to govern the exercise of its powers and duties, the practice and procedure before it, and to govern the form, contents and filing of reports, documents and other papers necessary to carry out the provisions of this law.</w:t>
      </w:r>
    </w:p>
    <w:p>
      <w:pPr>
        <w:spacing w:before="0" w:after="0"/>
        <w:ind w:left="120"/>
        <w:jc w:val="both"/>
      </w:pPr>
      <w:r>
        <w:rPr>
          <w:rFonts w:ascii="Times New Roman" w:hAnsi="Times New Roman"/>
          <w:b w:val="false"/>
          <w:i w:val="false"/>
          <w:color w:val="000000"/>
          <w:sz w:val="22"/>
        </w:rPr>
        <w:t xml:space="preserve">Iowa Code chapter </w:t>
      </w:r>
      <w:hyperlink r:id="rId6">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provides that the Iowa utilities commission shall have full authority and power to promulgate rules as it deems proper and expedient in the supervision of the transportation or transmission and underground storage of gas within the state of Iowa.</w:t>
      </w:r>
    </w:p>
    <w:p>
      <w:pPr>
        <w:spacing w:before="0" w:after="0"/>
        <w:ind w:left="120"/>
        <w:jc w:val="both"/>
      </w:pPr>
      <w:r>
        <w:rPr>
          <w:rFonts w:ascii="Times New Roman" w:hAnsi="Times New Roman"/>
          <w:b w:val="false"/>
          <w:i w:val="false"/>
          <w:color w:val="000000"/>
          <w:sz w:val="22"/>
        </w:rPr>
        <w:t xml:space="preserve">The application of the rules in this chapter to municipally owned utilities furnishing gas is limited by Iowa Code section </w:t>
      </w:r>
      <w:hyperlink r:id="rId7">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 rules shall apply to any gas utility operating within the state of Iowa as defined in Iowa Code chapter </w:t>
      </w:r>
      <w:hyperlink r:id="rId8">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shall supersede any tariff on file with this commission which is in conflict with these rules. These rules are intended to promote safe and adequate service to the public, to provide standards for uniform and reasonable practices by utilities, and to establish a basis for determining the reasonableness of such demands as may be made by the public upon the utilities. A request to waive the application of any rule on a permanent or temporary basis may be made in accordance with rule </w:t>
      </w:r>
      <w:hyperlink r:id="rId9">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 The adoption of these rules shall in no way preclude the commission from altering or amending them, pursuant to statute, or from making such modifications with respect to their application as may be found necessary to meet exceptional conditions. These regulations shall in no way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 indicated below:</w:t>
      </w:r>
    </w:p>
    <w:p>
      <w:pPr>
        <w:spacing w:before="0" w:after="0"/>
        <w:ind w:left="120"/>
        <w:jc w:val="both"/>
      </w:pPr>
      <w:r>
        <w:rPr>
          <w:rFonts w:ascii="Times New Roman" w:hAnsi="Times New Roman"/>
          <w:b w:val="false"/>
          <w:i w:val="false"/>
          <w:color w:val="000000"/>
          <w:sz w:val="22"/>
        </w:rPr>
        <w:t>The abbreviations used, and their meanings, are as follows:</w:t>
      </w:r>
    </w:p>
    <w:p>
      <w:pPr>
        <w:spacing w:before="0" w:after="0"/>
        <w:ind w:left="120"/>
        <w:jc w:val="both"/>
      </w:pPr>
      <w:r>
        <w:rPr>
          <w:rFonts w:ascii="Times New Roman" w:hAnsi="Times New Roman"/>
          <w:b w:val="false"/>
          <w:i w:val="false"/>
          <w:color w:val="000000"/>
          <w:sz w:val="22"/>
        </w:rPr>
        <w:t>Btu—British thermal unit</w:t>
      </w:r>
    </w:p>
    <w:p>
      <w:pPr>
        <w:spacing w:before="0" w:after="0"/>
        <w:ind w:left="120"/>
        <w:jc w:val="both"/>
      </w:pPr>
      <w:r>
        <w:rPr>
          <w:rFonts w:ascii="Times New Roman" w:hAnsi="Times New Roman"/>
          <w:b w:val="false"/>
          <w:i w:val="false"/>
          <w:color w:val="000000"/>
          <w:sz w:val="22"/>
        </w:rPr>
        <w:t>LP-Gas—Liquefied Petroleum Gas</w:t>
      </w:r>
    </w:p>
    <w:p>
      <w:pPr>
        <w:spacing w:before="0" w:after="0"/>
        <w:ind w:left="120"/>
        <w:jc w:val="both"/>
      </w:pPr>
      <w:r>
        <w:rPr>
          <w:rFonts w:ascii="Times New Roman" w:hAnsi="Times New Roman"/>
          <w:b w:val="false"/>
          <w:i w:val="false"/>
          <w:color w:val="000000"/>
          <w:sz w:val="22"/>
        </w:rPr>
        <w:t>psig—Pounds per Square Inch, Gauge</w:t>
      </w:r>
    </w:p>
    <w:p>
      <w:pPr>
        <w:spacing w:before="0" w:after="0"/>
        <w:ind w:left="120"/>
        <w:jc w:val="both"/>
      </w:pPr>
      <w:r>
        <w:rPr>
          <w:rFonts w:ascii="Times New Roman" w:hAnsi="Times New Roman"/>
          <w:b w:val="false"/>
          <w:i w:val="false"/>
          <w:color w:val="000000"/>
          <w:sz w:val="22"/>
        </w:rPr>
        <w:t>W.C.—Water Column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“Appliance” </w:t>
      </w:r>
      <w:r>
        <w:rPr>
          <w:rFonts w:ascii="Times New Roman" w:hAnsi="Times New Roman"/>
          <w:b w:val="false"/>
          <w:i w:val="false"/>
          <w:color w:val="000000"/>
          <w:sz w:val="22"/>
        </w:rPr>
        <w:t>refers to any device which utilizes gas fuel to produce light, heat or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December 22, 2021,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as used in these rules is a statement or question by anyone, whether a utility customer or not, alleging a wrong, grievance, injury, dissatisfaction, illegal action or procedure, dangerous condition or action, or utility failure to fulfill an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“Cubic foot” </w:t>
      </w:r>
      <w:r>
        <w:rPr>
          <w:rFonts w:ascii="Times New Roman" w:hAnsi="Times New Roman"/>
          <w:b w:val="false"/>
          <w:i w:val="false"/>
          <w:color w:val="000000"/>
          <w:sz w:val="22"/>
        </w:rPr>
        <w:t>of gas has the following meanings: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Where gas is supplied and metered to customers at the pressure (as defined in </w:t>
      </w:r>
      <w:hyperlink r:id="rId10">
        <w:r>
          <w:rPr>
            <w:rStyle w:val="Hyperlink"/>
            <w:rFonts w:ascii="Times New Roman" w:hAnsi="Times New Roman"/>
            <w:b w:val="false"/>
            <w:i w:val="false"/>
            <w:color w:val="000000"/>
            <w:sz w:val="22"/>
          </w:rPr>
          <w:t>19.7(2)</w:t>
        </w:r>
      </w:hyperlink>
      <w:r>
        <w:rPr>
          <w:rFonts w:ascii="Times New Roman" w:hAnsi="Times New Roman"/>
          <w:b w:val="false"/>
          <w:i w:val="false"/>
          <w:color w:val="000000"/>
          <w:sz w:val="22"/>
        </w:rPr>
        <w:t>) normally used for domestic customers’ appliances, a cubic foot of gas shall be that quantity of gas which, at the temperature and pressure existing in the meter, occupies one cubic foot, except that where a temperature compensated meter is used, the temperature base shall be 60°F.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When gas is supplied to customers at other than the pressure in (1) above, the utility shall specify in its rules the base for measurement of a cubic foot of gas (see </w:t>
      </w:r>
      <w:hyperlink r:id="rId11">
        <w:r>
          <w:rPr>
            <w:rStyle w:val="Hyperlink"/>
            <w:rFonts w:ascii="Times New Roman" w:hAnsi="Times New Roman"/>
            <w:b w:val="false"/>
            <w:i w:val="false"/>
            <w:color w:val="000000"/>
            <w:sz w:val="22"/>
          </w:rPr>
          <w:t>19.2(4)</w:t>
        </w:r>
        <w:r>
          <w:rPr>
            <w:rFonts w:ascii="Times New Roman" w:hAnsi="Times New Roman"/>
            <w:b w:val="false"/>
            <w:i/>
            <w:color w:val="000000"/>
            <w:sz w:val="22"/>
          </w:rPr>
          <w:t>“c”</w:t>
        </w:r>
        <w:r>
          <w:rPr>
            <w:rFonts w:ascii="Times New Roman" w:hAnsi="Times New Roman"/>
            <w:b w:val="false"/>
            <w:i w:val="false"/>
            <w:color w:val="000000"/>
            <w:sz w:val="22"/>
          </w:rPr>
          <w:t>(6)</w:t>
        </w:r>
      </w:hyperlink>
      <w:r>
        <w:rPr>
          <w:rFonts w:ascii="Times New Roman" w:hAnsi="Times New Roman"/>
          <w:b w:val="false"/>
          <w:i w:val="false"/>
          <w:color w:val="000000"/>
          <w:sz w:val="22"/>
        </w:rPr>
        <w:t>). Unless otherwise stated by the utility, such cubic foot of gas shall be that quantity of gas which, at a temperature of 60°F and a pressure of 14.73 pounds per square inch absolute, occupies one cubic foot.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standard cubic foot of gas for testing the gas itself for heating value shall be that quantity of gas, saturated with water vapor, which, at a temperature of 60°F and a pressure of 30 inches of mercury, occupies one cubic foot. (Temperature of mercury = 32°F acceleration due to gravity = 32.17 ft. per second per second density = 13.595 grams per cubic centimeter.)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any person, firm, association, or corporation, any agency of the federal, state or local government, or legal entity responsible by law for payment for the gas service or heat from the gas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“delinquency” </w:t>
      </w:r>
      <w:r>
        <w:rPr>
          <w:rFonts w:ascii="Times New Roman" w:hAnsi="Times New Roman"/>
          <w:b w:val="false"/>
          <w:i w:val="false"/>
          <w:color w:val="000000"/>
          <w:sz w:val="22"/>
        </w:rPr>
        <w:t>means an account for which a service bill or service payment agreement has not been paid in full on or before the last day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 </w:t>
      </w:r>
      <w:r>
        <w:rPr>
          <w:rFonts w:ascii="Times New Roman" w:hAnsi="Times New Roman"/>
          <w:b w:val="false"/>
          <w:i w:val="false"/>
          <w:color w:val="000000"/>
          <w:sz w:val="22"/>
        </w:rPr>
        <w:t>unless otherwise specifically designated, means manufactured gas, natural gas, other hydrocarbon gases, or any mixture of gases produced, transmitted, distributed or furnished by any gas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“Gas plant” </w:t>
      </w:r>
      <w:r>
        <w:rPr>
          <w:rFonts w:ascii="Times New Roman" w:hAnsi="Times New Roman"/>
          <w:b w:val="false"/>
          <w:i w:val="false"/>
          <w:color w:val="000000"/>
          <w:sz w:val="22"/>
        </w:rPr>
        <w:t>means all facilities including all real estate, fixtures and property owned, controlled, operated or managed by a gas utility for the production, storage, transmission and distribution of gas and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“Heating and calorific values.” </w:t>
      </w:r>
      <w:r>
        <w:rPr>
          <w:rFonts w:ascii="Times New Roman" w:hAnsi="Times New Roman"/>
          <w:b w:val="false"/>
          <w:i w:val="false"/>
          <w:color w:val="000000"/>
          <w:sz w:val="22"/>
        </w:rPr>
        <w:t>The following values shall be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“British thermal unit”</w:t>
      </w:r>
      <w:r>
        <w:rPr>
          <w:rFonts w:ascii="Times New Roman" w:hAnsi="Times New Roman"/>
          <w:b w:val="false"/>
          <w:i w:val="false"/>
          <w:color w:val="000000"/>
          <w:sz w:val="22"/>
        </w:rPr>
        <w:t xml:space="preserve"> (Btu) is the quantity of heat that must be added to one avoirdupois pound of pure water to raise its temperature from 58.5°F to 59.5°F under standard pressure.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“Dry calorific value”</w:t>
      </w:r>
      <w:r>
        <w:rPr>
          <w:rFonts w:ascii="Times New Roman" w:hAnsi="Times New Roman"/>
          <w:b w:val="false"/>
          <w:i w:val="false"/>
          <w:color w:val="000000"/>
          <w:sz w:val="22"/>
        </w:rPr>
        <w:t xml:space="preserve"> of a gas (total or net) is the value of the total or the net calorific value of the gas divided by the volume of dry gas in a standard cubic foot.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amount of dry gas in a standard cubic foot is .9826 cubic foot.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“Net calorific value”</w:t>
      </w:r>
      <w:r>
        <w:rPr>
          <w:rFonts w:ascii="Times New Roman" w:hAnsi="Times New Roman"/>
          <w:b w:val="false"/>
          <w:i w:val="false"/>
          <w:color w:val="000000"/>
          <w:sz w:val="22"/>
        </w:rPr>
        <w:t xml:space="preserve"> of a gas is the number of British thermal units evolved by the complete combustion, at constant pressure, of one standard cubic foot of gas with air, the temperature of the gas, air, and products of combustion being 60°F and all water formed by the combustion reaction remaining in the vapor state.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net calorific value of a gas is its total calorific value minus the latent heat of evaporation at standard temperature of the water formed by the combustion reaction.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color w:val="000000"/>
          <w:sz w:val="22"/>
        </w:rPr>
        <w:t>“Therm”</w:t>
      </w:r>
      <w:r>
        <w:rPr>
          <w:rFonts w:ascii="Times New Roman" w:hAnsi="Times New Roman"/>
          <w:b w:val="false"/>
          <w:i w:val="false"/>
          <w:color w:val="000000"/>
          <w:sz w:val="22"/>
        </w:rPr>
        <w:t xml:space="preserve"> means 100,000 British thermal units.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color w:val="000000"/>
          <w:sz w:val="22"/>
        </w:rPr>
        <w:t>“Total calorific value”</w:t>
      </w:r>
      <w:r>
        <w:rPr>
          <w:rFonts w:ascii="Times New Roman" w:hAnsi="Times New Roman"/>
          <w:b w:val="false"/>
          <w:i w:val="false"/>
          <w:color w:val="000000"/>
          <w:sz w:val="22"/>
        </w:rPr>
        <w:t xml:space="preserve"> of a gas is the number of British thermal units evolved by the complete combustion, at constant pressure, of one standard cubic foot of gas with air, the temperature of the gas, air and products of combustion being 60°F and all water formed by the combustion reaction condensed to the liquid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of service” </w:t>
      </w:r>
      <w:r>
        <w:rPr>
          <w:rFonts w:ascii="Times New Roman" w:hAnsi="Times New Roman"/>
          <w:b w:val="false"/>
          <w:i w:val="false"/>
          <w:color w:val="000000"/>
          <w:sz w:val="22"/>
        </w:rPr>
        <w:t>means any disturbance of the gas supply whereby gas service to a customer cannot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“Loss factor” </w:t>
      </w:r>
      <w:r>
        <w:rPr>
          <w:rFonts w:ascii="Times New Roman" w:hAnsi="Times New Roman"/>
          <w:b w:val="false"/>
          <w:i w:val="false"/>
          <w:color w:val="000000"/>
          <w:sz w:val="22"/>
        </w:rPr>
        <w:t xml:space="preserve">as used in rule </w:t>
      </w:r>
      <w:hyperlink r:id="rId12">
        <w:r>
          <w:rPr>
            <w:rStyle w:val="Hyperlink"/>
            <w:rFonts w:ascii="Times New Roman" w:hAnsi="Times New Roman"/>
            <w:b w:val="false"/>
            <w:i w:val="false"/>
            <w:color w:val="000000"/>
            <w:sz w:val="22"/>
          </w:rPr>
          <w:t>199—19.10(476)</w:t>
        </w:r>
      </w:hyperlink>
      <w:r>
        <w:rPr>
          <w:rFonts w:ascii="Times New Roman" w:hAnsi="Times New Roman"/>
          <w:b w:val="false"/>
          <w:i w:val="false"/>
          <w:color w:val="000000"/>
          <w:sz w:val="22"/>
        </w:rPr>
        <w:t xml:space="preserve"> means test-year purchases less test-year sales. A five-year average of purchases less sales may be used if the test year is determined by the commission to be abnormal.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w:t>
      </w:r>
      <w:r>
        <w:rPr>
          <w:rFonts w:ascii="Times New Roman" w:hAnsi="Times New Roman"/>
          <w:b w:val="false"/>
          <w:i w:val="false"/>
          <w:color w:val="000000"/>
          <w:sz w:val="22"/>
        </w:rPr>
        <w:t>means a gas pipe, owned, operated, or maintained by a utility, which is used for the purpose of transmission or distribution of gas, but does not include “service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w:t>
      </w:r>
      <w:r>
        <w:rPr>
          <w:rFonts w:ascii="Times New Roman" w:hAnsi="Times New Roman"/>
          <w:b w:val="false"/>
          <w:i w:val="false"/>
          <w:color w:val="000000"/>
          <w:sz w:val="22"/>
        </w:rPr>
        <w:t>without other qualification, shall mean any device or instrument which is used by a utility in measuring a quantity of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shop” </w:t>
      </w:r>
      <w:r>
        <w:rPr>
          <w:rFonts w:ascii="Times New Roman" w:hAnsi="Times New Roman"/>
          <w:b w:val="false"/>
          <w:i w:val="false"/>
          <w:color w:val="000000"/>
          <w:sz w:val="22"/>
        </w:rPr>
        <w:t>is a shop where meters are inspected, repaired and tested, and may be at a fixed location or may be mobile.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“Pressure,” </w:t>
      </w:r>
      <w:r>
        <w:rPr>
          <w:rFonts w:ascii="Times New Roman" w:hAnsi="Times New Roman"/>
          <w:b w:val="false"/>
          <w:i w:val="false"/>
          <w:color w:val="000000"/>
          <w:sz w:val="22"/>
        </w:rPr>
        <w:t>unless otherwise stated, is expressed in pounds per square inch above atmospheric pressure, i.e., gauge pressure (abbreviation-psig).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“Rate-regulated utility” </w:t>
      </w:r>
      <w:r>
        <w:rPr>
          <w:rFonts w:ascii="Times New Roman" w:hAnsi="Times New Roman"/>
          <w:b w:val="false"/>
          <w:i w:val="false"/>
          <w:color w:val="000000"/>
          <w:sz w:val="22"/>
        </w:rPr>
        <w:t xml:space="preserve">means any utility as defined in the definition of “utility” below which is subject to rate regulation provided for in Iowa Code chapter </w:t>
      </w:r>
      <w:hyperlink r:id="rId13">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w:t>
      </w:r>
      <w:r>
        <w:rPr>
          <w:rFonts w:ascii="Times New Roman" w:hAnsi="Times New Roman"/>
          <w:b w:val="false"/>
          <w:i w:val="false"/>
          <w:color w:val="000000"/>
          <w:sz w:val="22"/>
        </w:rPr>
        <w:t>means a distribution line that transports gas from a common source of supply to a customer meter or the connection to a customer’s piping, whichever is farther downstream, or the connection to a customer’s piping if there is not a customer meter. A customer meter is the meter that measures the transfer of gas from a utility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“town border station” </w:t>
      </w:r>
      <w:r>
        <w:rPr>
          <w:rFonts w:ascii="Times New Roman" w:hAnsi="Times New Roman"/>
          <w:b w:val="false"/>
          <w:i w:val="false"/>
          <w:color w:val="000000"/>
          <w:sz w:val="22"/>
        </w:rPr>
        <w:t>means the delivery point or measuring station at which a gas distribution utility receives gas from a natural gas transmission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“Tariff” </w:t>
      </w:r>
      <w:r>
        <w:rPr>
          <w:rFonts w:ascii="Times New Roman" w:hAnsi="Times New Roman"/>
          <w:b w:val="false"/>
          <w:i w:val="false"/>
          <w:color w:val="000000"/>
          <w:sz w:val="22"/>
        </w:rPr>
        <w:t>means the entire body of rates, tolls, rentals, charges, classifications, rules, procedures, policies, etc., adopted and filed with the commission by a gas utility in fulfilling its role of furnishing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payment” </w:t>
      </w:r>
      <w:r>
        <w:rPr>
          <w:rFonts w:ascii="Times New Roman" w:hAnsi="Times New Roman"/>
          <w:b w:val="false"/>
          <w:i w:val="false"/>
          <w:color w:val="000000"/>
          <w:sz w:val="22"/>
        </w:rPr>
        <w:t>is a payment on a customer’s account made on or before the date shown on a current bill for service or on a form which records an agreement between the customer and a utility for a series of partial payments to settle a delinquent account, as the date which determines application of a late payment charge to the current bill or future collection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any person, partnership, business association, or corporation, domestic or foreign, owning or operating any facilities for furnishing gas or heat to the public for compensation.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reports, and 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Location and retention of records. </w:t>
      </w:r>
      <w:r>
        <w:rPr>
          <w:rFonts w:ascii="Times New Roman" w:hAnsi="Times New Roman"/>
          <w:b w:val="false"/>
          <w:i w:val="false"/>
          <w:color w:val="000000"/>
          <w:sz w:val="22"/>
        </w:rPr>
        <w:t xml:space="preserve">Unless otherwise specified in this chapter, all records required by these rules shall be kept and preserved in accordance with the applicable provisions of </w:t>
      </w:r>
      <w:hyperlink r:id="rId14">
        <w:r>
          <w:rPr>
            <w:rStyle w:val="Hyperlink"/>
            <w:rFonts w:ascii="Times New Roman" w:hAnsi="Times New Roman"/>
            <w:b w:val="false"/>
            <w:i w:val="false"/>
            <w:color w:val="000000"/>
            <w:sz w:val="22"/>
          </w:rPr>
          <w:t>Chapter 18</w:t>
        </w:r>
      </w:hyperlink>
      <w:r>
        <w:rPr>
          <w:rFonts w:ascii="Times New Roman" w:hAnsi="Times New Roman"/>
          <w:b w:val="false"/>
          <w:i w:val="false"/>
          <w:color w:val="000000"/>
          <w:sz w:val="22"/>
        </w:rPr>
        <w:t xml:space="preserve"> of the commission’s rules, Utility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The schedules of rates and rules of rate-regulated gas utilities shall be filed with the commission and shall be classified, designated, arranged and submitted so as to conform to the requirements of this chapter. Provisions of the schedules shall be definite and so stated as to minimize ambiguity or the possibility of misinterpretation. The form, identification and content of tariffs shall be in accordance with these rules.</w:t>
      </w:r>
    </w:p>
    <w:p>
      <w:pPr>
        <w:spacing w:before="0" w:after="0"/>
        <w:ind w:left="120"/>
        <w:jc w:val="both"/>
      </w:pPr>
      <w:r>
        <w:rPr>
          <w:rFonts w:ascii="Times New Roman" w:hAnsi="Times New Roman"/>
          <w:b w:val="false"/>
          <w:i w:val="false"/>
          <w:color w:val="000000"/>
          <w:sz w:val="22"/>
        </w:rPr>
        <w:t xml:space="preserve">Utilities which are not subject to the rate regulation provided for by Iowa Code chapter </w:t>
      </w:r>
      <w:hyperlink r:id="rId1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shall not be required to file schedules of rates, rules, or contracts primarily concerned with a rate schedule with the commission, but nothing contained in these rules shall be deemed to relieve any utility of the requirement of furnishing any of these same schedules or contracts which are needed by the commission in the performance of the commission’s duties upon request to do so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tariff shall be filed electronically using the commission’s electronic filing system. The filed tariff shall be capable of being reproduced on 8½- × 11-inch paper so customers may reproduce copies of the tariff. A tariff filed with the commission may be the same format as is required by a federal agency provided that the rules of the commission as to title page; identity of superseding, replacing or revision sheets; identity of amending sheets; identity of the filing utility, issuing official, date of issue, effective date; and the words “Gas Tariff Filed with Commission” shall apply in the modification of the federal agency format for the purposes of filing with this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title page of every tariff and supplement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page shall be the title page which shall show:</w:t>
      </w:r>
    </w:p>
    <w:p>
      <w:pPr>
        <w:spacing w:before="0" w:after="0"/>
        <w:ind w:left="120"/>
        <w:jc w:val="center"/>
      </w:pPr>
      <w:r>
        <w:rPr>
          <w:rFonts w:ascii="Times New Roman" w:hAnsi="Times New Roman"/>
          <w:b w:val="false"/>
          <w:i w:val="false"/>
          <w:color w:val="000000"/>
          <w:sz w:val="22"/>
        </w:rPr>
        <w:t>(Name of Public Utility)</w:t>
      </w:r>
    </w:p>
    <w:p>
      <w:pPr>
        <w:spacing w:before="0" w:after="0"/>
        <w:ind w:left="120"/>
        <w:jc w:val="center"/>
      </w:pPr>
      <w:r>
        <w:rPr>
          <w:rFonts w:ascii="Times New Roman" w:hAnsi="Times New Roman"/>
          <w:b w:val="false"/>
          <w:i w:val="false"/>
          <w:color w:val="000000"/>
          <w:sz w:val="22"/>
        </w:rPr>
        <w:t>Gas Tariff</w:t>
      </w:r>
    </w:p>
    <w:p>
      <w:pPr>
        <w:spacing w:before="0" w:after="0"/>
        <w:ind w:left="120"/>
        <w:jc w:val="center"/>
      </w:pPr>
      <w:r>
        <w:rPr>
          <w:rFonts w:ascii="Times New Roman" w:hAnsi="Times New Roman"/>
          <w:b w:val="false"/>
          <w:i w:val="false"/>
          <w:color w:val="000000"/>
          <w:sz w:val="22"/>
        </w:rPr>
        <w:t>Filed with</w:t>
      </w:r>
    </w:p>
    <w:p>
      <w:pPr>
        <w:spacing w:before="0" w:after="0"/>
        <w:ind w:left="120"/>
        <w:jc w:val="center"/>
      </w:pPr>
      <w:r>
        <w:rPr>
          <w:rFonts w:ascii="Times New Roman" w:hAnsi="Times New Roman"/>
          <w:b w:val="false"/>
          <w:i w:val="false"/>
          <w:color w:val="000000"/>
          <w:sz w:val="22"/>
        </w:rPr>
        <w:t>Iowa Utilities Commission</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shall show on the upper right corner of its title page that it is a revision of a tariff on file and the number being superseded or replaced, for example:</w:t>
      </w:r>
    </w:p>
    <w:p>
      <w:pPr>
        <w:spacing w:before="0" w:after="0"/>
        <w:ind w:left="120"/>
        <w:jc w:val="both"/>
      </w:pPr>
      <w:r>
        <w:rPr>
          <w:rFonts w:ascii="Times New Roman" w:hAnsi="Times New Roman"/>
          <w:b w:val="false"/>
          <w:i w:val="false"/>
          <w:color w:val="000000"/>
          <w:sz w:val="22"/>
        </w:rPr>
        <w:t>Tariff No.</w:t>
      </w:r>
      <w:r>
        <w:rPr>
          <w:rFonts w:ascii="Times New Roman" w:hAnsi="Times New Roman"/>
          <w:b w:val="false"/>
          <w:i w:val="false"/>
          <w:color w:val="000000"/>
          <w:sz w:val="22"/>
        </w:rPr>
        <w:t> </w:t>
      </w:r>
    </w:p>
    <w:p>
      <w:pPr>
        <w:spacing w:before="0" w:after="0"/>
        <w:ind w:left="0"/>
        <w:jc w:val="both"/>
      </w:pPr>
    </w:p>
    <w:p>
      <w:pPr>
        <w:spacing w:before="0" w:after="0"/>
        <w:ind w:left="120"/>
        <w:jc w:val="both"/>
      </w:pPr>
      <w:r>
        <w:rPr>
          <w:rFonts w:ascii="Times New Roman" w:hAnsi="Times New Roman"/>
          <w:b w:val="false"/>
          <w:i w:val="false"/>
          <w:color w:val="000000"/>
          <w:sz w:val="22"/>
        </w:rPr>
        <w:t>Supersedes Tariff No.</w:t>
      </w:r>
      <w:r>
        <w:rPr>
          <w:rFonts w:ascii="Times New Roman" w:hAnsi="Times New Roman"/>
          <w:b w:val="false"/>
          <w:i w:val="false"/>
          <w:color w:val="000000"/>
          <w:sz w:val="22"/>
        </w:rPr>
        <w:t> </w:t>
      </w:r>
    </w:p>
    <w:p>
      <w:pPr>
        <w:spacing w:before="0" w:after="0"/>
        <w:ind w:left="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new part of a tariff eliminates an existing part of a tariff it shall so state and clearly identify the part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tariff modifications as defined in “3” above replacing tariff sheets shall be marked in the right margin with symbols as herein described to indicate the place, nature and extent of the change in text.</w:t>
      </w:r>
    </w:p>
    <w:tbl>
      <w:tblPr>
        <w:tblW w:w="5000" w:type="pct"/>
        <w:tblCellSpacing w:w="0" w:type="auto"/>
        <w:tblBorders>
          <w:top w:val="none"/>
          <w:left w:val="none"/>
          <w:bottom w:val="none"/>
          <w:right w:val="none"/>
          <w:insideH w:val="none"/>
          <w:insideV w:val="none"/>
        </w:tblBorders>
        <w:tblLayout w:type="fixed"/>
      </w:tblPr>
      <w:tblGrid>
        <w:gridCol w:w="1970"/>
        <w:gridCol w:w="1394"/>
        <w:gridCol w:w="7826"/>
      </w:tblGrid>
      <w:tr>
        <w:trPr>
          <w:trHeight w:val="210" w:hRule="atLeast"/>
        </w:trPr>
        <w:tc>
          <w:tcPr>
            <w:tcW w:w="19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Symbol</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6"/>
              </w:rPr>
              <w:t>Meaning</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change in regulation</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discontinued rate, treatment or regulation</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 increased rate or new treatment resulting in increased rate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new rate, treatment or regulation</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reduced rate or new treatment resulting in a reduced rate</w:t>
            </w:r>
          </w:p>
        </w:tc>
      </w:tr>
      <w:tr>
        <w:trPr>
          <w:trHeight w:val="210" w:hRule="atLeast"/>
        </w:trPr>
        <w:tc>
          <w:tcPr>
            <w:tcW w:w="19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w:t>
            </w:r>
          </w:p>
        </w:tc>
        <w:tc>
          <w:tcPr>
            <w:tcW w:w="1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8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change in text but no change in rate, treatment or regulation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shall have, in addition to the above-stated requirements,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utility under which shall be set forth the words “Filed with Commission.” If the utility is not a corporation, and a trade name is used, the name of the individual or partners must precede the 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Issuing official and issue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(to be left blank by rate-regulated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shall have the following form:</w:t>
      </w:r>
    </w:p>
    <w:tbl>
      <w:tblPr>
        <w:tblW w:w="5000" w:type="pct"/>
        <w:tblCellSpacing w:w="0" w:type="auto"/>
        <w:tblBorders>
          <w:top w:val="none"/>
          <w:left w:val="none"/>
          <w:bottom w:val="none"/>
          <w:right w:val="none"/>
          <w:insideH w:val="none"/>
          <w:insideV w:val="none"/>
        </w:tblBorders>
        <w:tblLayout w:type="fixed"/>
      </w:tblPr>
      <w:tblGrid>
        <w:gridCol w:w="3186"/>
        <w:gridCol w:w="2994"/>
        <w:gridCol w:w="5010"/>
      </w:tblGrid>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(Company Name)</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(Part identification)</w:t>
            </w:r>
          </w:p>
        </w:tc>
      </w:tr>
      <w:tr>
        <w:trPr>
          <w:trHeight w:val="210" w:hRule="atLeast"/>
        </w:trPr>
        <w:tc>
          <w:tcPr>
            <w:tcW w:w="31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Gas Tariff</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(This sheet identification)</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Filed with commission</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(Canceled sheet identification, if any)</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94"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(Content of tariff)</w:t>
            </w:r>
          </w:p>
        </w:tc>
        <w:tc>
          <w:tcPr>
            <w:tcW w:w="50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Issued: (Date)</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Effective:</w:t>
            </w:r>
          </w:p>
        </w:tc>
      </w:tr>
      <w:tr>
        <w:trPr>
          <w:trHeight w:val="210" w:hRule="atLeast"/>
        </w:trPr>
        <w:tc>
          <w:tcPr>
            <w:tcW w:w="31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Issued by: (Name, title)</w:t>
            </w:r>
          </w:p>
        </w:tc>
        <w:tc>
          <w:tcPr>
            <w:tcW w:w="29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01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(Proposed Effective Date:)</w:t>
            </w:r>
          </w:p>
        </w:tc>
      </w:tr>
    </w:tbl>
    <w:p>
      <w:pPr>
        <w:spacing w:before="0" w:after="0"/>
        <w:ind w:left="120"/>
        <w:jc w:val="both"/>
      </w:pPr>
      <w:r>
        <w:rPr>
          <w:rFonts w:ascii="Times New Roman" w:hAnsi="Times New Roman"/>
          <w:b w:val="false"/>
          <w:i w:val="false"/>
          <w:color w:val="000000"/>
          <w:sz w:val="22"/>
        </w:rPr>
        <w:t>The issued date is the date the tariff or the amended sheet content was adopted by the utility.</w:t>
      </w:r>
    </w:p>
    <w:p>
      <w:pPr>
        <w:spacing w:before="0" w:after="0"/>
        <w:ind w:left="120"/>
        <w:jc w:val="both"/>
      </w:pPr>
      <w:r>
        <w:rPr>
          <w:rFonts w:ascii="Times New Roman" w:hAnsi="Times New Roman"/>
          <w:b w:val="false"/>
          <w:i w:val="false"/>
          <w:color w:val="000000"/>
          <w:sz w:val="22"/>
        </w:rPr>
        <w:t>The effective date will be left blank by rate-regulated utilities and shall be determined by the commission. The utility may propose an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r>
        <w:rPr>
          <w:rFonts w:ascii="Times New Roman" w:hAnsi="Times New Roman"/>
          <w:b w:val="false"/>
          <w:i w:val="false"/>
          <w:color w:val="000000"/>
          <w:sz w:val="22"/>
        </w:rPr>
        <w:t>A tariff filed with the commission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containing a list of rate schedules and other sections in the order in which they appear showing the sheet number of the first page of each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rates of utilities subject to rate regulation for service with indication of each rate for the type of gas and the class of customers to which each rate applies. There shall also be shown the prices per unit of service, the number of units per billing period to which the prices apply, the period of billing, the minimum bill, the method of measuring demands and consumptions, including the method of calculating or estimating loads or minimums, delivery pressure, and any special terms or conditions applicable. All rates should be separated into “gas” and “nongas” components, and books and records shall be maintained on this basis. Books and records shall be available to the commission for audits upon request. The gas components will be the result of the utility’s periodic review of gas procurement practices rule (</w:t>
      </w:r>
      <w:hyperlink r:id="rId16">
        <w:r>
          <w:rPr>
            <w:rStyle w:val="Hyperlink"/>
            <w:rFonts w:ascii="Times New Roman" w:hAnsi="Times New Roman"/>
            <w:b w:val="false"/>
            <w:i w:val="false"/>
            <w:color w:val="000000"/>
            <w:sz w:val="22"/>
          </w:rPr>
          <w:t>199—19.11(476)</w:t>
        </w:r>
      </w:hyperlink>
      <w:r>
        <w:rPr>
          <w:rFonts w:ascii="Times New Roman" w:hAnsi="Times New Roman"/>
          <w:b w:val="false"/>
          <w:i w:val="false"/>
          <w:color w:val="000000"/>
          <w:sz w:val="22"/>
        </w:rPr>
        <w:t xml:space="preserve">) and PGA (rule </w:t>
      </w:r>
      <w:hyperlink r:id="rId17">
        <w:r>
          <w:rPr>
            <w:rStyle w:val="Hyperlink"/>
            <w:rFonts w:ascii="Times New Roman" w:hAnsi="Times New Roman"/>
            <w:b w:val="false"/>
            <w:i w:val="false"/>
            <w:color w:val="000000"/>
            <w:sz w:val="22"/>
          </w:rPr>
          <w:t>199—19.10(476)</w:t>
        </w:r>
      </w:hyperlink>
      <w:r>
        <w:rPr>
          <w:rFonts w:ascii="Times New Roman" w:hAnsi="Times New Roman"/>
          <w:b w:val="false"/>
          <w:i w:val="false"/>
          <w:color w:val="000000"/>
          <w:sz w:val="22"/>
        </w:rPr>
        <w:t xml:space="preserve">) proceeding. The nongas components will be established through rate case proceedings under Iowa Code section </w:t>
      </w:r>
      <w:hyperlink r:id="rId18">
        <w:r>
          <w:rPr>
            <w:rStyle w:val="Hyperlink"/>
            <w:rFonts w:ascii="Times New Roman" w:hAnsi="Times New Roman"/>
            <w:b w:val="false"/>
            <w:i w:val="false"/>
            <w:color w:val="000000"/>
            <w:sz w:val="22"/>
          </w:rPr>
          <w:t>476.3</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The period during which the net amount may be paid before the account becomes delinquent shall be specified. In any case where net and gross amounts are billed, the difference between net and gross is a late payment charge and shall be so specified.</w:t>
      </w:r>
    </w:p>
    <w:p>
      <w:pPr>
        <w:spacing w:before="0" w:after="0"/>
        <w:ind w:left="120"/>
        <w:jc w:val="both"/>
      </w:pPr>
      <w:r>
        <w:rPr>
          <w:rFonts w:ascii="Times New Roman" w:hAnsi="Times New Roman"/>
          <w:b w:val="false"/>
          <w:i w:val="false"/>
          <w:color w:val="000000"/>
          <w:sz w:val="22"/>
        </w:rPr>
        <w:t>Customer charges for all special services relating to providing the basic utility service including, but not limited to, reconnect charge and different categories of service calls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utility’s rules, or terms and conditions, describing the utility’s policies and practices in providing service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as to the equivalent total heating value of the gas in Btu’s per cubic foot on which their customers are billed. If necessary, this may be listed by district, division or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list of the items which the utility furnishes, owns, and maintains on the customer’s premises, such as service pipe, meters, regulators, vents and shut-off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statement indicating the extent to which the utility will provide service in the adjustment of customer appliances at no additional customer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statement of the utility’s policy in making adjustments for wastage of gas when such wastage occurs without the knowledge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minimum number of days allowed for payment after the due date of the customer’s bill before service will be discontinued for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the volumetric measurement base to which all sales of gas at other than standard delivery pressure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Forms of standard contracts required of customers for the various types of service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All tariffs must provide that, notwithstanding any other provision of this tariff or contract with reference thereto, all rates and charges contained in this tariff or contract with reference thereto may be modified at any time by a subsequent filing made pursuant to the provisions of Iowa Code chapter </w:t>
      </w:r>
      <w:hyperlink r:id="rId20">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copy of each type of customer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Definitions of classes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for extending service in accordance with </w:t>
      </w:r>
      <w:hyperlink r:id="rId21">
        <w:r>
          <w:rPr>
            <w:rStyle w:val="Hyperlink"/>
            <w:rFonts w:ascii="Times New Roman" w:hAnsi="Times New Roman"/>
            <w:b w:val="false"/>
            <w:i w:val="false"/>
            <w:color w:val="000000"/>
            <w:sz w:val="22"/>
          </w:rPr>
          <w:t>19.3(10)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Rules with which prospective customers must comply as a condition of receiving service, and the terms of contracts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Rules governing the establishment and maintenance of credit by customers for payment of service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Rules governing disconnecting and reconnecting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Notice required from customer for having service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Rules covering temporary, emergency, auxiliary, and stand-by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Rules shall show any limitations on loads and cover the type of equipment which may or may not be 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Rate-regulated utilities shall include a list of service areas and the applicable rates in such form as to facilitate ready determination of the rates available in each municipality and in such unincorporated communities as have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Rules on meter reading, billing periods, bill issuance, timely customer payment, notice of delinquency and service disconnection 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or prospective customer should file a complaint with the utility, and how the complaint will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disconnected customer or potential customer for residential service may negotiate for a payment agreement on amount due, determination of even payment amounts, and time allowed for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If a sliding scale or automatic adjustment is applicable to regulated rates or charges of billed customers, the manner and method of such adjustment calculation shall be covered through a detailed explanation.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19.2(5)</w:t>
      </w:r>
      <w:r>
        <w:rPr>
          <w:rFonts w:ascii="Times New Roman" w:hAnsi="Times New Roman"/>
          <w:b w:val="false"/>
          <w:i w:val="false"/>
          <w:color w:val="000000"/>
          <w:sz w:val="22"/>
        </w:rPr>
        <w:t> </w:t>
      </w:r>
      <w:r>
        <w:rPr>
          <w:rFonts w:ascii="Times New Roman" w:hAnsi="Times New Roman"/>
          <w:b w:val="false"/>
          <w:i/>
          <w:color w:val="000000"/>
          <w:sz w:val="22"/>
        </w:rPr>
        <w:t xml:space="preserve">Annual, periodic and other reports to be filed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System map verification. </w:t>
      </w:r>
      <w:r>
        <w:rPr>
          <w:rFonts w:ascii="Times New Roman" w:hAnsi="Times New Roman"/>
          <w:b w:val="false"/>
          <w:i w:val="false"/>
          <w:color w:val="000000"/>
          <w:sz w:val="22"/>
        </w:rPr>
        <w:t>A utility shall file annually with the commission a verification that it has a correct set of utility system maps for each operating or distribution area. The maps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Peak shaving facilities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Feeder and distribution mains indicating size and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System metering (town border stations and other supply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Regulator stations in system indicating inlet and outlet pressures.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Calorimeter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boundary crossing.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Franchise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Names of all communities (post offices)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1/30/08</w:t>
      </w:r>
      <w:r>
        <w:rPr>
          <w:rFonts w:ascii="Times New Roman" w:hAnsi="Times New Roman"/>
          <w:b w:val="false"/>
          <w:i w:val="false"/>
          <w:color w:val="000000"/>
          <w:sz w:val="22"/>
        </w:rPr>
        <w:t>, effective 3/5/08.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Construction programs.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11/19/97</w:t>
      </w:r>
      <w:r>
        <w:rPr>
          <w:rFonts w:ascii="Times New Roman" w:hAnsi="Times New Roman"/>
          <w:b w:val="false"/>
          <w:i w:val="false"/>
          <w:color w:val="000000"/>
          <w:sz w:val="22"/>
        </w:rPr>
        <w:t>, effective 12/24/97.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Reports of gas service. </w:t>
      </w:r>
      <w:r>
        <w:rPr>
          <w:rFonts w:ascii="Times New Roman" w:hAnsi="Times New Roman"/>
          <w:b w:val="false"/>
          <w:i w:val="false"/>
          <w:color w:val="000000"/>
          <w:sz w:val="22"/>
        </w:rPr>
        <w:t>Each utility shall compile a monthly record of gas service. The record shall be completed within 30 days after the end of the month covered. The compilation is to be kept available, for inspection by the commission or its staff, at the utility’s principal office within the state of Iowa. Such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daily and monthly average of total heating values of gas in accordance with </w:t>
      </w:r>
      <w:hyperlink r:id="rId22">
        <w:r>
          <w:rPr>
            <w:rStyle w:val="Hyperlink"/>
            <w:rFonts w:ascii="Times New Roman" w:hAnsi="Times New Roman"/>
            <w:b w:val="false"/>
            <w:i w:val="false"/>
            <w:color w:val="000000"/>
            <w:sz w:val="22"/>
          </w:rPr>
          <w:t>19.7(6)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monthly acquisition and disposition of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Interruptions of service occurring during the month in accordance with </w:t>
      </w:r>
      <w:hyperlink r:id="rId23">
        <w:r>
          <w:rPr>
            <w:rStyle w:val="Hyperlink"/>
            <w:rFonts w:ascii="Times New Roman" w:hAnsi="Times New Roman"/>
            <w:b w:val="false"/>
            <w:i w:val="false"/>
            <w:color w:val="000000"/>
            <w:sz w:val="22"/>
          </w:rPr>
          <w:t>19.7(7)</w:t>
        </w:r>
      </w:hyperlink>
      <w:r>
        <w:rPr>
          <w:rFonts w:ascii="Times New Roman" w:hAnsi="Times New Roman"/>
          <w:b w:val="false"/>
          <w:i w:val="false"/>
          <w:color w:val="000000"/>
          <w:sz w:val="22"/>
        </w:rPr>
        <w:t>. If there were no interruptions, then it should be so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customer pressure investigations made and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customer meters tested and test results tabulated as follows: The number that falls into limits 0 to + 2%, + 2 to + 4%, 0 to - 2%, - 2 to - 4%, over + 4%, under - 4%, and “Does Not Register” in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on leak survey programs including the number of leaks found classified as to hazard and nature, and if known, the cause and type of pipe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Number of district regulators checked and nature of repairs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Number of house regulators checked and nature of repairs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Description of any unusual operating difficulties.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Type of odorant and monthly average pounds per million cubic feet used in each individual distribution system.</w:t>
      </w:r>
    </w:p>
    <w:p>
      <w:pPr>
        <w:spacing w:before="0" w:after="0"/>
        <w:ind w:left="120"/>
        <w:jc w:val="both"/>
      </w:pPr>
      <w:r>
        <w:rPr>
          <w:rFonts w:ascii="Times New Roman" w:hAnsi="Times New Roman"/>
          <w:b w:val="false"/>
          <w:i w:val="false"/>
          <w:color w:val="000000"/>
          <w:sz w:val="22"/>
        </w:rPr>
        <w:t>A summary of the 12 monthly gas service records for each calendar year shall be attached to and submitted with the utility’s annual fiscal plant and statistical report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Filing published meter and service installation rules. </w:t>
      </w:r>
      <w:r>
        <w:rPr>
          <w:rFonts w:ascii="Times New Roman" w:hAnsi="Times New Roman"/>
          <w:b w:val="false"/>
          <w:i w:val="false"/>
          <w:color w:val="000000"/>
          <w:sz w:val="22"/>
        </w:rPr>
        <w:t>A copy of the utility’s current rules, if any, published or furnished by the utility for the use of engineers, architects, plumbing contractors, etc., covering meter and service installation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Filing customer bill forms. </w:t>
      </w:r>
      <w:r>
        <w:rPr>
          <w:rFonts w:ascii="Times New Roman" w:hAnsi="Times New Roman"/>
          <w:b w:val="false"/>
          <w:i w:val="false"/>
          <w:color w:val="000000"/>
          <w:sz w:val="22"/>
        </w:rPr>
        <w:t>A copy of each type of customer bill form in current use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Reports to federal agencies. </w:t>
      </w:r>
      <w:r>
        <w:rPr>
          <w:rFonts w:ascii="Times New Roman" w:hAnsi="Times New Roman"/>
          <w:b w:val="false"/>
          <w:i w:val="false"/>
          <w:color w:val="000000"/>
          <w:sz w:val="22"/>
        </w:rPr>
        <w:t>Copies of reports submitted to the U.S. Department of Transportation pursuant to 49 CFR Part 191, Part 192, or Part 199 shall be filed with the commission no later than ten days following the submission. Utilities operating in other states shall provide to the commission data for Iowa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Change in rate. </w:t>
      </w:r>
      <w:r>
        <w:rPr>
          <w:rFonts w:ascii="Times New Roman" w:hAnsi="Times New Roman"/>
          <w:b w:val="false"/>
          <w:i w:val="false"/>
          <w:color w:val="000000"/>
          <w:sz w:val="22"/>
        </w:rPr>
        <w:t>A notification to the commission shall be made of any planned change in rate of service by a utility even though the change in rate of service is provided for in its tariff filing with the commission. This information shall reflect the amount of increase or decrease and the effective date of application. An up-to-date tariff sheet shall be supplied to the Iowa utilities commission for its copy of the tariff showing the current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List of persons authorized to receive commission inquiries. </w:t>
      </w:r>
      <w:r>
        <w:rPr>
          <w:rFonts w:ascii="Times New Roman" w:hAnsi="Times New Roman"/>
          <w:b w:val="false"/>
          <w:i w:val="false"/>
          <w:color w:val="000000"/>
          <w:sz w:val="22"/>
        </w:rPr>
        <w:t xml:space="preserve">Each utility shall file with the commission in the annual report required by </w:t>
      </w:r>
      <w:hyperlink r:id="rId24">
        <w:r>
          <w:rPr>
            <w:rStyle w:val="Hyperlink"/>
            <w:rFonts w:ascii="Times New Roman" w:hAnsi="Times New Roman"/>
            <w:b w:val="false"/>
            <w:i w:val="false"/>
            <w:color w:val="000000"/>
            <w:sz w:val="22"/>
          </w:rPr>
          <w:t>199—subrule 23.1(2)</w:t>
        </w:r>
      </w:hyperlink>
      <w:r>
        <w:rPr>
          <w:rFonts w:ascii="Times New Roman" w:hAnsi="Times New Roman"/>
          <w:b w:val="false"/>
          <w:i w:val="false"/>
          <w:color w:val="000000"/>
          <w:sz w:val="22"/>
        </w:rPr>
        <w:t xml:space="preserve"> a list of names, titles, addresses, and telephone numbers of persons authorized to receive, act upon, and respond to communications from the commission in connection with: (1) general management duties; (2) customer relations (complaints); (3) engineering operations; (4) meter tests and repairs; (5) pipeline permits (gas). Each utility shall file with the commission a telephone contact number or numbers where the commission can obtain current information 24 hours a day about incidents and interruptions of service from a knowledgeable person. The contact information required by this paragraph shall be kept current as changes or corrections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Residential customer statistics. </w:t>
      </w:r>
      <w:r>
        <w:rPr>
          <w:rFonts w:ascii="Times New Roman" w:hAnsi="Times New Roman"/>
          <w:b w:val="false"/>
          <w:i w:val="false"/>
          <w:color w:val="000000"/>
          <w:sz w:val="22"/>
        </w:rPr>
        <w:t>Each rate-regulated gas utility shall file with the commission on or before the fifteenth day of each month one copy of the following residential customer statistics for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accounts certified as eligible for energy assistance since the preceding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 on accounts eligible for energy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disconnections for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reconnections;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Number of accounts determined uncollectible;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determined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Monthly, periodic and annual reports. </w:t>
      </w:r>
      <w:r>
        <w:rPr>
          <w:rFonts w:ascii="Times New Roman" w:hAnsi="Times New Roman"/>
          <w:b w:val="false"/>
          <w:i w:val="false"/>
          <w:color w:val="000000"/>
          <w:sz w:val="22"/>
        </w:rPr>
        <w:t>Each utility shall file such other monthly, periodic and annual reports as are requested by the commission. Monthly and periodic reports shall be due in the commission’s office within 30 days after the end of the reporting period. All annual reports shall be filed with this commission by April 1 of each year for the preceding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Disposition of gas. </w:t>
      </w:r>
      <w:r>
        <w:rPr>
          <w:rFonts w:ascii="Times New Roman" w:hAnsi="Times New Roman"/>
          <w:b w:val="false"/>
          <w:i w:val="false"/>
          <w:color w:val="000000"/>
          <w:sz w:val="22"/>
        </w:rPr>
        <w:t>The meter and any service line pressure regulator shall be owned by the utility. The utility shall place a visible seal on all meters and service line regulators in customer use, such that the seal must be broken to gain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gas sold by a utility shall be on the basis of meter measurement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consumption of gas may be readily computed without metering;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temporary service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all gas delivered to multioccupancy premises within a single building, where units are separately rented or owned, shall be measured on the basis of individual meter measurement for each unit,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gas is used in centralized heating, cooling or water-heating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 facility is designated for elderly or handicapped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submetering or resale of service was permitted prior to 1966;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individual metering is impractical. “Impractical” means: (1) where conditions or structural barriers exist in the multioccupancy building that would make individual meters unsafe or physically impossible to install; (2) where the cost of providing individual metering exceeds the long-term benefits of individual metering; or (3) where the benefits of individual metering (reduced and controlled energy consumption) are more effectively accomplished through a master meter arrangement.</w:t>
      </w:r>
    </w:p>
    <w:p>
      <w:pPr>
        <w:spacing w:before="0" w:after="0"/>
        <w:ind w:left="120"/>
        <w:jc w:val="both"/>
      </w:pPr>
      <w:r>
        <w:rPr>
          <w:rFonts w:ascii="Times New Roman" w:hAnsi="Times New Roman"/>
          <w:b w:val="false"/>
          <w:i w:val="false"/>
          <w:color w:val="000000"/>
          <w:sz w:val="22"/>
        </w:rPr>
        <w:t>If a multioccupancy building is master-metered, the end user occupants may be charged for natural gas as an unidentified portion of the rent, condominium fee, or similar payment, or, if some other method of allocating the cost of the gas service is used, the total charge for gas service shall not exceed the total gas bill charged by the utility for the same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Master metering to multiple buildings is prohibited, except for multiple buildings owned by the same person or entity. Multioccupancy premises within a multiple building complex may be master-metered pursuant to this paragraph only if the requirements of paragraph </w:t>
      </w:r>
      <w:hyperlink r:id="rId26">
        <w:r>
          <w:rPr>
            <w:rStyle w:val="Hyperlink"/>
            <w:rFonts w:ascii="Times New Roman" w:hAnsi="Times New Roman"/>
            <w:b w:val="false"/>
            <w:i w:val="false"/>
            <w:color w:val="000000"/>
            <w:sz w:val="22"/>
          </w:rPr>
          <w:t>19.3(1)</w:t>
        </w:r>
        <w:r>
          <w:rPr>
            <w:rFonts w:ascii="Times New Roman" w:hAnsi="Times New Roman"/>
            <w:b w:val="false"/>
            <w:i/>
            <w:color w:val="000000"/>
            <w:sz w:val="22"/>
          </w:rPr>
          <w:t>“b”</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“master meter” means a single meter used in determining the amount of natural gas provided to a multioccupancy building or multiple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rule shall not be construed to prohibit any utility from requiring more extensive individual metering than otherwise required by this rule if required pursuant to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gas consumed by the utility shall be on the basis of meter measurement except where consumption may be readily computed without metering or where metering is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xml:space="preserve">, effective 12/17/03. See </w:t>
      </w:r>
      <w:hyperlink r:id="rId27">
        <w:r>
          <w:rPr>
            <w:rStyle w:val="Hyperlink"/>
            <w:rFonts w:ascii="Times New Roman" w:hAnsi="Times New Roman"/>
            <w:b w:val="false"/>
            <w:i w:val="false"/>
            <w:color w:val="000000"/>
            <w:sz w:val="22"/>
          </w:rPr>
          <w:t>199 IAC 19.6(7)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Meter reading records. </w:t>
      </w:r>
      <w:r>
        <w:rPr>
          <w:rFonts w:ascii="Times New Roman" w:hAnsi="Times New Roman"/>
          <w:b w:val="false"/>
          <w:i w:val="false"/>
          <w:color w:val="000000"/>
          <w:sz w:val="22"/>
        </w:rPr>
        <w:t>The meter reading records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Customer’s name, address, rate schedule, or identification of rate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Identifying number or description of the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Meter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reading has been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applicable multiplier or constant, or reference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Meter charts.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11/8/17</w:t>
      </w:r>
      <w:r>
        <w:rPr>
          <w:rFonts w:ascii="Times New Roman" w:hAnsi="Times New Roman"/>
          <w:b w:val="false"/>
          <w:i w:val="false"/>
          <w:color w:val="000000"/>
          <w:sz w:val="22"/>
        </w:rPr>
        <w:t>, effective 12/13/17.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19.3(5)</w:t>
      </w:r>
      <w:r>
        <w:rPr>
          <w:rFonts w:ascii="Times New Roman" w:hAnsi="Times New Roman"/>
          <w:b w:val="false"/>
          <w:i w:val="false"/>
          <w:color w:val="000000"/>
          <w:sz w:val="22"/>
        </w:rPr>
        <w:t> </w:t>
      </w:r>
      <w:r>
        <w:rPr>
          <w:rFonts w:ascii="Times New Roman" w:hAnsi="Times New Roman"/>
          <w:b w:val="false"/>
          <w:i/>
          <w:color w:val="000000"/>
          <w:sz w:val="22"/>
        </w:rPr>
        <w:t xml:space="preserve">Meter register. </w:t>
      </w:r>
      <w:r>
        <w:rPr>
          <w:rFonts w:ascii="Times New Roman" w:hAnsi="Times New Roman"/>
          <w:b w:val="false"/>
          <w:i w:val="false"/>
          <w:color w:val="000000"/>
          <w:sz w:val="22"/>
        </w:rPr>
        <w:t>If it is necessary to apply a multiplier to the meter readings, the multiplier must be marked on the face of the meter register or stenciled in weather-resistant paint upon the front cover of the meter. Customers shall have continuous visual access to meter registers as a means of verifying the accuracy of bills presented to them and for implementing such energy conservation initiatives as they desire, except in the individual locations where the utility has experienced vandalism to windows in the protective enclosures. Where remote meter reading is used, whether outdoor on premises or off-premises-automated, the customers shall have a readable meter register at the meter as a means of verifying the accuracy of bills presented to them. A utility may comply with the requirements of this subrule by making the required information available via the Internet or other equivalent means.</w:t>
      </w:r>
    </w:p>
    <w:p>
      <w:pPr>
        <w:spacing w:before="0" w:after="0"/>
        <w:ind w:left="120"/>
        <w:jc w:val="both"/>
      </w:pPr>
      <w:r>
        <w:rPr>
          <w:rFonts w:ascii="Times New Roman" w:hAnsi="Times New Roman"/>
          <w:b w:val="false"/>
          <w:i w:val="false"/>
          <w:color w:val="000000"/>
          <w:sz w:val="22"/>
        </w:rPr>
        <w:t>In instances when a building owner has determined that unrestricted access to tenant metering installation would create a vandalism or safety hazard, the utility is exempted from the access provision above.</w:t>
      </w:r>
    </w:p>
    <w:p>
      <w:pPr>
        <w:spacing w:before="0" w:after="0"/>
        <w:ind w:left="120"/>
        <w:jc w:val="both"/>
      </w:pPr>
      <w:r>
        <w:rPr>
          <w:rFonts w:ascii="Times New Roman" w:hAnsi="Times New Roman"/>
          <w:b w:val="false"/>
          <w:i w:val="false"/>
          <w:color w:val="000000"/>
          <w:sz w:val="22"/>
        </w:rPr>
        <w:t>Continuing efforts should be made to eliminate or minimize the number of restricted locations. The utility should assist affected customers in obtaining meter register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19.3(6)</w:t>
      </w:r>
      <w:r>
        <w:rPr>
          <w:rFonts w:ascii="Times New Roman" w:hAnsi="Times New Roman"/>
          <w:b w:val="false"/>
          <w:i w:val="false"/>
          <w:color w:val="000000"/>
          <w:sz w:val="22"/>
        </w:rPr>
        <w:t> </w:t>
      </w:r>
      <w:r>
        <w:rPr>
          <w:rFonts w:ascii="Times New Roman" w:hAnsi="Times New Roman"/>
          <w:b w:val="false"/>
          <w:i/>
          <w:color w:val="000000"/>
          <w:sz w:val="22"/>
        </w:rPr>
        <w:t xml:space="preserve">Prepayment meters. </w:t>
      </w:r>
      <w:r>
        <w:rPr>
          <w:rFonts w:ascii="Times New Roman" w:hAnsi="Times New Roman"/>
          <w:b w:val="false"/>
          <w:i w:val="false"/>
          <w:color w:val="000000"/>
          <w:sz w:val="22"/>
        </w:rPr>
        <w:t>Prepayment meters shall not be geared or set so as to result in the charge of a rate or amount higher than would be paid if a standard type meter were used, except under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19.3(7)</w:t>
      </w:r>
      <w:r>
        <w:rPr>
          <w:rFonts w:ascii="Times New Roman" w:hAnsi="Times New Roman"/>
          <w:b w:val="false"/>
          <w:i w:val="false"/>
          <w:color w:val="000000"/>
          <w:sz w:val="22"/>
        </w:rPr>
        <w:t> </w:t>
      </w:r>
      <w:r>
        <w:rPr>
          <w:rFonts w:ascii="Times New Roman" w:hAnsi="Times New Roman"/>
          <w:b w:val="false"/>
          <w:i/>
          <w:color w:val="000000"/>
          <w:sz w:val="22"/>
        </w:rPr>
        <w:t xml:space="preserve">Meter reading and billing interval. </w:t>
      </w:r>
      <w:r>
        <w:rPr>
          <w:rFonts w:ascii="Times New Roman" w:hAnsi="Times New Roman"/>
          <w:b w:val="false"/>
          <w:i w:val="false"/>
          <w:color w:val="000000"/>
          <w:sz w:val="22"/>
        </w:rPr>
        <w:t xml:space="preserve">Readings of all meters used for determining charges and billings to customers shall be scheduled at least monthly and for the beginning and termination of service. Bills to larger customers may, for good cause, be provided weekly or daily for a period not to exceed one month. Intervals other than monthly shall not be applied to smaller customers, or to larger customers after the initial month provided above, without a waiver from the commission. A waiver request must include the information required by </w:t>
      </w:r>
      <w:hyperlink r:id="rId28">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(17A,474,476). If the commission denies a waiver, or if a waiver is not sought with respect to a large volume customer after the initial month, that customer’s bill shall be provided monthly for the next 12 months, unless prior approval is received from the commission for a shorter interval. The group of larger customers to which shorter billing intervals may be applied shall be specified in the utility’s tariff sheets, but shall not include residential customers.</w:t>
      </w:r>
    </w:p>
    <w:p>
      <w:pPr>
        <w:spacing w:before="0" w:after="0"/>
        <w:ind w:left="120"/>
        <w:jc w:val="both"/>
      </w:pPr>
      <w:r>
        <w:rPr>
          <w:rFonts w:ascii="Times New Roman" w:hAnsi="Times New Roman"/>
          <w:b w:val="false"/>
          <w:i w:val="false"/>
          <w:color w:val="000000"/>
          <w:sz w:val="22"/>
        </w:rPr>
        <w:t>An effort shall be made to obtain readings of the meters on corresponding days of each meter reading period. The utility rules may permit the customer to supply the meter readings by telephone, by electronic means, or on a form supplied by the utility. The utility may arrange for customer meter reading forms to be delivered to the utility by United States mail, electronically, or by hand delivery. The utility may arrange for the meter to be read by electronic means. Unless the utility has a plan to test check meter readings, a utility representative shall physically read the meter at least once each 12 months and when the utility is notified there is a change of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19.3(8)</w:t>
      </w:r>
      <w:r>
        <w:rPr>
          <w:rFonts w:ascii="Times New Roman" w:hAnsi="Times New Roman"/>
          <w:b w:val="false"/>
          <w:i w:val="false"/>
          <w:color w:val="000000"/>
          <w:sz w:val="22"/>
        </w:rPr>
        <w:t> </w:t>
      </w:r>
      <w:r>
        <w:rPr>
          <w:rFonts w:ascii="Times New Roman" w:hAnsi="Times New Roman"/>
          <w:b w:val="false"/>
          <w:i/>
          <w:color w:val="000000"/>
          <w:sz w:val="22"/>
        </w:rPr>
        <w:t xml:space="preserve">Readings and estimates. </w:t>
      </w:r>
      <w:r>
        <w:rPr>
          <w:rFonts w:ascii="Times New Roman" w:hAnsi="Times New Roman"/>
          <w:b w:val="false"/>
          <w:i w:val="false"/>
          <w:color w:val="000000"/>
          <w:sz w:val="22"/>
        </w:rPr>
        <w:t>When a customer is connected or disconnected or the meter reading date causes a given billing period to deviate by more than 10 percent (counting only business days) from the normal meter reading period, such bill shall be prorated on a daily basis.</w:t>
      </w:r>
    </w:p>
    <w:p>
      <w:pPr>
        <w:spacing w:before="0" w:after="0"/>
        <w:ind w:left="120"/>
        <w:jc w:val="both"/>
      </w:pPr>
      <w:r>
        <w:rPr>
          <w:rFonts w:ascii="Times New Roman" w:hAnsi="Times New Roman"/>
          <w:b w:val="false"/>
          <w:i w:val="false"/>
          <w:color w:val="000000"/>
          <w:sz w:val="22"/>
        </w:rPr>
        <w:t>When access to meters cannot be gained, the utility may leave with the customer a meter reading form. The customer may provide the meter reading by telephone, electronic mail (if it is allowed by the utility), or by mail. If the meter reading information is not returned in time for the billing operation, an estimated bill may be provided. If an actual meter reading cannot be obtained, the utility may provide an estimated bill without reading the meter or supplying a meter reading form to the customer. Only in unusual cases or when approval is obtained from the customer shall more than three consecutive estimated bills be provided.</w:t>
      </w:r>
    </w:p>
    <w:p>
      <w:pPr>
        <w:spacing w:before="0" w:after="0"/>
        <w:ind w:left="120"/>
        <w:jc w:val="both"/>
      </w:pPr>
      <w:r>
        <w:rPr>
          <w:rFonts w:ascii="Times New Roman" w:hAnsi="Times New Roman"/>
          <w:b w:val="false"/>
          <w:i w:val="false"/>
          <w:color w:val="000000"/>
          <w:sz w:val="22"/>
        </w:rPr>
        <w:t>The utility shall incorporate normalized weather data in its calculation of an estimated bill.</w:t>
      </w:r>
    </w:p>
    <w:p>
      <w:pPr>
        <w:spacing w:before="0" w:after="0"/>
        <w:ind w:left="120"/>
        <w:jc w:val="both"/>
      </w:pPr>
      <w:r>
        <w:rPr>
          <w:rFonts w:ascii="Times New Roman" w:hAnsi="Times New Roman"/>
          <w:b w:val="false"/>
          <w:i w:val="false"/>
          <w:color w:val="000000"/>
          <w:sz w:val="22"/>
        </w:rPr>
        <w:t>Utilities shall file with the commission their procedures for calculating estimated bills, including their procedures for determining the reasonable degree-day data to use in the calculations. Utilities shall inform the commission when changes are made to the procedures for calculating estimated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19.3(9)</w:t>
      </w:r>
      <w:r>
        <w:rPr>
          <w:rFonts w:ascii="Times New Roman" w:hAnsi="Times New Roman"/>
          <w:b w:val="false"/>
          <w:i w:val="false"/>
          <w:color w:val="000000"/>
          <w:sz w:val="22"/>
        </w:rPr>
        <w:t> </w:t>
      </w:r>
      <w:r>
        <w:rPr>
          <w:rFonts w:ascii="Times New Roman" w:hAnsi="Times New Roman"/>
          <w:b w:val="false"/>
          <w:i/>
          <w:color w:val="000000"/>
          <w:sz w:val="22"/>
        </w:rPr>
        <w:t xml:space="preserve">Temporary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11/8/17</w:t>
      </w:r>
      <w:r>
        <w:rPr>
          <w:rFonts w:ascii="Times New Roman" w:hAnsi="Times New Roman"/>
          <w:b w:val="false"/>
          <w:i w:val="false"/>
          <w:color w:val="000000"/>
          <w:sz w:val="22"/>
        </w:rPr>
        <w:t>, effective 12/13/17.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19.3(10)</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distribution main extensions, and 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the terms as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for construction,” </w:t>
      </w:r>
      <w:r>
        <w:rPr>
          <w:rFonts w:ascii="Times New Roman" w:hAnsi="Times New Roman"/>
          <w:b w:val="false"/>
          <w:i w:val="false"/>
          <w:color w:val="000000"/>
          <w:sz w:val="22"/>
        </w:rPr>
        <w:t>as used in this subrule, means cash payments or equivalent surety made to the utility by an applicant for an extensive plant addition or a distribution main extension, portions of which may be refunded depending on any subsequent service line attached to the extensive plant addition or distribution main extension. Cash payments or equivalent surety shall include a grossed-up amount for the income tax effect of such revenue.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as used in this subrule, means a period of not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as used in this subrule, means a nonrefundable cash payment grossed-up for the income tax effect of such revenue covering the costs of a service line that are in excess of costs paid by the utility.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main extension,” </w:t>
      </w:r>
      <w:r>
        <w:rPr>
          <w:rFonts w:ascii="Times New Roman" w:hAnsi="Times New Roman"/>
          <w:b w:val="false"/>
          <w:i w:val="false"/>
          <w:color w:val="000000"/>
          <w:sz w:val="22"/>
        </w:rPr>
        <w:t>as used in this subrule, means a segment of pipeline installed to convey gas to individual service lines or other distribution 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as used in this subrule, shall be calculated based upon the following factors, including, but not limited to: The size of the facility to be used by the customer, the size and type of equipment to be used by the customer, the average annual amount of service required by the equipment, and 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base revenues,” </w:t>
      </w:r>
      <w:r>
        <w:rPr>
          <w:rFonts w:ascii="Times New Roman" w:hAnsi="Times New Roman"/>
          <w:b w:val="false"/>
          <w:i w:val="false"/>
          <w:color w:val="000000"/>
          <w:sz w:val="22"/>
        </w:rPr>
        <w:t>as used in this subrule, shall be calculated by subtracting the cost of purchased gas and energy efficiency charges from estimated annual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as used in this subrule, shall be calculated using average current costs in accordance with good engineering practices and upon the following factors: amount of service required or desired by the customer requesting the distribution main extension or service line; size, location, and characteristics of the distribution main extension or service line, including appurtenances; and whether the ground is frozen or whether other adverse conditions exist. In no event shall estimated construction costs include costs associated with facilities built for the convenience of the utility. The customer shall be charged actual permit fees in addition to estimated construction costs. Permit fees are to be paid regardless of whether the customer is required to pay an advance for construction or a nonrefundable contribution in aid of construction, and the cost of any permit fee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addition,” </w:t>
      </w:r>
      <w:r>
        <w:rPr>
          <w:rFonts w:ascii="Times New Roman" w:hAnsi="Times New Roman"/>
          <w:b w:val="false"/>
          <w:i w:val="false"/>
          <w:color w:val="000000"/>
          <w:sz w:val="22"/>
        </w:rPr>
        <w:t>as used in this subrule, means any additional plant, other than a distribution main or service line, required to be constructed to provide service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w:t>
      </w:r>
      <w:r>
        <w:rPr>
          <w:rFonts w:ascii="Times New Roman" w:hAnsi="Times New Roman"/>
          <w:b w:val="false"/>
          <w:i w:val="false"/>
          <w:color w:val="000000"/>
          <w:sz w:val="22"/>
        </w:rPr>
        <w:t>as used in this subrule, means the piping that extends from the distribution main to the meter set riser.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as used in this subrule, 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as used in this subrule, means a rate-regulated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w:t>
      </w:r>
      <w:r>
        <w:rPr>
          <w:rFonts w:ascii="Times New Roman" w:hAnsi="Times New Roman"/>
          <w:b w:val="false"/>
          <w:i w:val="false"/>
          <w:color w:val="000000"/>
          <w:sz w:val="22"/>
        </w:rPr>
        <w:t>The utility shall provide all gas plant at its cost and expense without requiring an advance for construction from customers or developers except in those unusual circumstances where extensive plant additions are required before the customer can be served. A written contract between the utility and the customer which requires an advance for construction by the customer to make plant additions shall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Distribution main extensions. </w:t>
      </w:r>
      <w:r>
        <w:rPr>
          <w:rFonts w:ascii="Times New Roman" w:hAnsi="Times New Roman"/>
          <w:b w:val="false"/>
          <w:i w:val="false"/>
          <w:color w:val="000000"/>
          <w:sz w:val="22"/>
        </w:rPr>
        <w:t>Where the customer will attach to the distribution main extension within the agreed-upon attachment period after completion of the distribution main extension,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make the distribution main extension for a customer without requiring an advance for construction if the estimated construction costs to provide a distribution main extension are less than or equal to three times estimated base revenue calculated on the basis of similarly situated customers. The utility may use a feasibility model, rather than three times estimated base revenue, to determine what, if any, advance for construction is required of the customer. The utility shall file a summary explaining the inputs into the feasibility model and a description of the model as part of the utility’s tariff. Whether or not the construction of the distribution main extension would otherwise require a payment from a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 distribution main extension is greater than three times estimated base revenue calculated on the basis of similarly situated customers, the applicant for a distribution main extension shall contract with the utility and make, no more than 30 days prior to commencement of construction, an advance for construction equal to the estimated construction cost less three times estimated base revenue to be produced by the customer. The utility may use a feasibility model to determine whether an advance for construction is required.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distribution main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distribution main extension, the applicant for the distribution main extension shall contract with the utility and make, no more than 30 days prior to the commencement of construction, an advance for construction equal to the estimated construction cost. The utility may use a feasibility model to determine the amount of the advance for construction.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distribution main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Advances for construction may be paid by cash or equivalent surety and shall be refundable for ten years. The customer has the option of providing an advance for construction by cash or equivalent surety unless the utility determines that the customer has failed to comply with the conditions of a surety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Refunds. When the customer is required to make an advance for construction, the utility shall refund to the depositor for a period of ten years from the date of the original advance a pro-rata share for each service line attached to the distribution main extension. The pro-rata refund shall be computed in the following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combined total of three times estimated base revenue, or the amount allowed by the feasibility model, for the distribution main extension and each service line attached to the distribution main extension exceeds the total estimated construction cost to provide the distribution main extension, the entire amount of the advance for construction shall be refunded.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combined total of three times estimated base revenue, or the amount allowed by the feasibility model, for the distribution main extension and each service line attached to the distribution main extension is less than the total estimated construction cost to provide the distribution main extension, the amount to be refunded shall equal three times estimated base revenue, or the amount allowed by the feasibility model, when a service line is attached to the distribution main extension.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no event shall the total amount to be refunded exceed the amount of the advance for construction. Any amounts subject to refund shall be paid by the utility without interest. At the expiration of the above-described ten-year period, the advance for construction record shall be closed and the remaining balance shall be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 record of each work order under which the distribution main extension was installed, to include the estimated revenues, the estimated construction costs, the amount of any payment received, and any refunds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construct a service line without requiring a nonrefundable contribution in aid of construction or any payment by the applicant where the length of the service line to the riser is up to 50 feet on private property or 100 feet on private property if polyethylene plastic pipe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length of the service line exceeds 50 feet on private property or 100 feet if polyethylene plastic pipe is used, the applicant shall be required to provide a nonrefundable contribution in aid of construction, within 30 days after completion, for that portion of the service line on private property, exclusive of the riser, in excess of 50 feet or in excess of 100 feet if polyethylene plastic pipe is used. The nonrefundable contribution in aid of construction for that portion of the service line shall be computed as follows:</w:t>
      </w:r>
    </w:p>
    <w:p>
      <w:pPr>
        <w:spacing w:before="0" w:after="0"/>
        <w:ind w:left="120"/>
        <w:jc w:val="both"/>
      </w:pPr>
      <w:r>
        <w:rPr>
          <w:rFonts w:ascii="Times New Roman" w:hAnsi="Times New Roman"/>
          <w:b w:val="false"/>
          <w:i w:val="false"/>
          <w:color w:val="000000"/>
          <w:sz w:val="22"/>
        </w:rPr>
        <w:t>(Estimated Construction Costs) ×</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25" w:hRule="atLeast"/>
        </w:trPr>
        <w:tc>
          <w:tcPr>
            <w:tcW w:w="1119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in Excess of 50 Feet) or (Total Length in Excess of 100 Feet)</w:t>
            </w:r>
          </w:p>
        </w:tc>
      </w:tr>
      <w:tr>
        <w:trPr>
          <w:trHeight w:val="22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Length of Service 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utility may adopt a tariff or rule that allows the utility to finance and construct a service line of more than 50 feet, or 100 feet if polyethylene plastic pipe is used, without requiring a nonrefundable contribution in aid of construction from the customer if the tariff or rule applies equally to all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or not the construction of the service line would otherwise require a payment from the customer, the utility shall charge the customer for actual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shall not be required to make distribution main extensions or attach service lines as described in this subrule, unless the distribution main extension or service line shall be of a permanent nature. When the utility provides a temporary service to a customer, the utility may require that the customer bear all of the cost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Different payment arrangement. </w:t>
      </w:r>
      <w:r>
        <w:rPr>
          <w:rFonts w:ascii="Times New Roman" w:hAnsi="Times New Roman"/>
          <w:b w:val="false"/>
          <w:i w:val="false"/>
          <w:color w:val="000000"/>
          <w:sz w:val="22"/>
        </w:rPr>
        <w:t>This subrule shall not be construed as prohibiting any utility from making a contract with a customer using a different payment arrangement, if the contract provides a more favorable payment arrangement to the customer, so long as no discrimination is practiced among similarly situated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Areas without service or with constrained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utility may finance and expand natural gas service into an area of the state with no natural gas service or where capacity constraints limit the expansion of service. A utility expanding service under this paragraph may do so without requiring an advance for construction from a customer or group of customers if a standard feasibility model approved by the commission shows the expansion is economically justified over a period not to exceed 20 years. The approved model will be adopted following a commission proceeding in which interested parties will have the opportunity to review and comment on a model jointly proposed by the regulated gas utilities. The approved model will be made available on the commission’s website. The utility shall charge the customer or customers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feasibility model does not show the expansion is economically justified without an advance for construction, a customer or group of customers may contract with the utility and make, no more than 30 days prior to commencement of construction, an advance for construction in an amount that would make the expansion economically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making a determination that it intends to move forward with an expansion pursuant to this paragraph, the utility shall notify the commission by filing the inputs and results of the feasibility model and any associated contract or contracts with the commission. The utility shall maintain separate books and records for any expansion made pursuant to this paragraph until the utility’s next general rate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19.3(11)</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advance notice. </w:t>
      </w:r>
      <w:r>
        <w:rPr>
          <w:rFonts w:ascii="Times New Roman" w:hAnsi="Times New Roman"/>
          <w:b w:val="false"/>
          <w:i w:val="false"/>
          <w:color w:val="000000"/>
          <w:sz w:val="22"/>
        </w:rPr>
        <w:t>In order that full benefit may be derived from this chapter and in order to facilitate its proper application, all utilities shall observe the following cooperative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utility shall give to other public utilities in the same general territory advance notice of any construction or change in construction or in operating conditions of its facilities concerned or likely to be concerned in situations of proximity, provided, however, that the requirements of this chapter shall not apply to routine extensions or minor changes in the local underground distribution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utility shall assist in promoting conformity with this chapter. An arrangement should be set up among all utilities whose facilities may occupy the same general territory, providing for the interchange of pertinent data and information including that relative to proposed and existing construction and changes in operating conditions concerned or likely to be concerned in situations of proximity.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7584B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transmission and distribution systems, with such other information as may be necessary to enable the utility to advise prospective customers, and others entitled to the information, as to the facilities available for serving customers in its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customer or prospective customer in selecting the most economical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schedule classification in the manner provided in the rules of practice and procedure before the commission. (199—26.5(476))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 schedules and rules relating to the service of the utility, as filed with the commission, are available for public inspection. If the utility provides access to its rate schedules and rules for service on its website, the notice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inform its customers as to the method of reading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on the bill form, that tariff and rate schedule information is available upon request at the utility’s local business office. If the utility provides access to its tariff and rate schedules on its website, the statement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request, transmit a statement of either the customer’s actual consumption, or degree day adjusted consumption, at the company’s option, of natural gas for each billing period during the prior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Furnish such additional information as the customer may reasonably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Customer contact employee qualifications. </w:t>
      </w:r>
      <w:r>
        <w:rPr>
          <w:rFonts w:ascii="Times New Roman" w:hAnsi="Times New Roman"/>
          <w:b w:val="false"/>
          <w:i w:val="false"/>
          <w:color w:val="000000"/>
          <w:sz w:val="22"/>
        </w:rPr>
        <w:t>Each utility shall promptly and courteously resolve inquiries for information or complaints. Employees who receive customer telephone calls and office visits shall be qualified and trained in screening and resolving complaints, to avoid a preliminary recitation of the entire complaint to employees without ability and authority to act. The employee shall provide identification to the customer that will enable the customer to reach that employee again if needed.</w:t>
      </w:r>
    </w:p>
    <w:p>
      <w:pPr>
        <w:spacing w:before="0" w:after="0"/>
        <w:ind w:left="120"/>
        <w:jc w:val="both"/>
      </w:pP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(515)725-7321 or toll-free 1-877-565-4450, or by writing to 1375 E. Court Avenue, Room 69, Des Moines, Iowa 50319-0069, or by email to </w:t>
      </w:r>
      <w:hyperlink r:id="rId30">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bill insert or notice for municipal utilities shall include the following statement: “If your complaint is related to service disconnection, safety, or renewable energy, and (utility name) does not resolve your complaint, you may request assistance from the Iowa Utilities Commission by calling (515)725-7321, or toll-free 1-877-565-4450, by writing to 1375 E. Court Avenue, Room 69, Des Moines, Iowa 50319-0069, or by email to </w:t>
      </w:r>
      <w:hyperlink r:id="rId31">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bill insert or notice on the bill form shall be provided monthly by utilities serving more than 50,000 Iowa retail customers and no less than annually by all other natural gas utilities. Any utility which does not use the standard statement described in this subrule shall file its proposed statement in its tariff for approval. A utility that bills by postcard may place an advertisement in a local newspaper of general circulation or a customer newsletter instead of a mailing. The advertisement must be of a type size that is easily legible and conspicuous and must contain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may require from any customer or prospective customer a deposit intended to guarantee partial payment of bills for service. Each utility shall allow a person other than the customer to pay the customer’s deposit. In lieu of a cash deposit, the utility may accept the written guarantee of a surety or other responsible party as surety for an account. Upon termination of a guarantee contract, or whenever the utility deems the contract insufficient as to amount or surety, a cash deposit or a new or additional guarantee may be required for good cause upon reasonable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The new or additional deposit shall be payable at any of the utility’s business offices or local authorized agents. An appropriate receipt shall be provided. No written notice is required to be given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deposit shall be required as a condition for service other than determined by application of either credit rating or deposit calculation criteria, or both, of the filed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deposit for any residential or commercial customer for a place which has previously received service shall not be greater than the highest billing of service for one month for the place in the previous 12-month period. The deposit for any residential or commercial customer for a place which has not previously received service or for an industrial customer, shall be the customer’s projected one-month usage for the place to be served as determined by the utility, or as may be reasonably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rate-regulated utility to each customer required to make a deposit. On or after April 21, 1994, rate-regulated utilities shall compute interest on customer deposits at 7.5 percent per annum, compounded annually. Interest for prior periods shall be computed at the rate specified by the rule in effect for the period in question.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relative to an account treated as an uncollectible account, is the most recent date the account became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 records. </w:t>
      </w:r>
      <w:r>
        <w:rPr>
          <w:rFonts w:ascii="Times New Roman" w:hAnsi="Times New Roman"/>
          <w:b w:val="false"/>
          <w:i w:val="false"/>
          <w:color w:val="000000"/>
          <w:sz w:val="22"/>
        </w:rPr>
        <w:t>Each utility shall keep records to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and date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transaction concerning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19.4(6)</w:t>
      </w:r>
      <w:r>
        <w:rPr>
          <w:rFonts w:ascii="Times New Roman" w:hAnsi="Times New Roman"/>
          <w:b w:val="false"/>
          <w:i w:val="false"/>
          <w:color w:val="000000"/>
          <w:sz w:val="22"/>
        </w:rPr>
        <w:t> </w:t>
      </w:r>
      <w:r>
        <w:rPr>
          <w:rFonts w:ascii="Times New Roman" w:hAnsi="Times New Roman"/>
          <w:b w:val="false"/>
          <w:i/>
          <w:color w:val="000000"/>
          <w:sz w:val="22"/>
        </w:rPr>
        <w:t xml:space="preserve">Customer’s receipt for a deposit. </w:t>
      </w:r>
      <w:r>
        <w:rPr>
          <w:rFonts w:ascii="Times New Roman" w:hAnsi="Times New Roman"/>
          <w:b w:val="false"/>
          <w:i w:val="false"/>
          <w:color w:val="000000"/>
          <w:sz w:val="22"/>
        </w:rPr>
        <w:t>Each utility shall issue a receipt of deposit to each customer from whom a deposit is received, and shall provide means whereby a depositor may establish claim if the receipt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19.4(7)</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 xml:space="preserve">A deposit shall be refunded after 12 consecutive months of prompt payment (which may be 11 timely payments and one automatic forgiveness of late payment), unless the utility is entitled to require a new or additional deposit. For refund purposes, the account shall be reviewed after 12 months of service following the making of the deposit and for each 12-month interval terminating on the anniversary of the deposit. However, deposits received from customers subject to the waiver provided by subrule </w:t>
      </w:r>
      <w:hyperlink r:id="rId32">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including surety deposits, may be retained by the utility until final billing. Upon termination of service, the deposit plus accumulated interest, less any unpaid utility bill of the customer, shall be reimbursed to the person who made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19.4(8)</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33">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34">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19.4(9)</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Each customer shall be informed as promptly as possible following the reading of the customer’s meter, on bill form or otherwise,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reading of the meter at the beginning and at the end of the period for which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meter was read at the beginning and end of the billing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kind of units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applicable rate schedule with the identification of the applicable rate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balance brought forward and the amount of each net charge for rate-schedule-priced utility service, sales tax, other taxes, late payment charge, and total amount currently due. In the case of prepayment meters, the amount of money collected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last date for timely payment shall be clearly shown and shall be not less than 20 days after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 minimum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conversions from meter reading units to billing units, or any calculations to determine billing units from recording or other devices, or any other factors, such as sliding scale or automatic adjustment and amount of sales tax adjustments used in determining the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19.4(10)</w:t>
      </w:r>
      <w:r>
        <w:rPr>
          <w:rFonts w:ascii="Times New Roman" w:hAnsi="Times New Roman"/>
          <w:b w:val="false"/>
          <w:i w:val="false"/>
          <w:color w:val="000000"/>
          <w:sz w:val="22"/>
        </w:rPr>
        <w:t> </w:t>
      </w:r>
      <w:r>
        <w:rPr>
          <w:rFonts w:ascii="Times New Roman" w:hAnsi="Times New Roman"/>
          <w:b w:val="false"/>
          <w:i/>
          <w:color w:val="000000"/>
          <w:sz w:val="22"/>
        </w:rPr>
        <w:t xml:space="preserve">Customer billing information alternate. </w:t>
      </w:r>
      <w:r>
        <w:rPr>
          <w:rFonts w:ascii="Times New Roman" w:hAnsi="Times New Roman"/>
          <w:b w:val="false"/>
          <w:i w:val="false"/>
          <w:color w:val="000000"/>
          <w:sz w:val="22"/>
        </w:rPr>
        <w:t>A utility serving fewer than 5000 gas customers may provide the information in 19.4(9) on bill form or otherwise. If the utility elects not to provide the information of 19.4(9) on the bill form, it shall advise the customer, on the bill form or by bill insert, that such information can be obtained by contacting the utility’s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19.4(11)</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shall offer an agreement with at least 12 even monthly payments. For customers who have been disconnected more than 120 days and are not in default of a payment agreement, the utility shall offer an agreement with at least 6 even monthly payments. The utility shall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agreement shall also include provision for payment of the current account.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document will be considered provided to the customer when addressed to the customer’s last-known address and deposited in the U.S. mail with postage paid. If delivery is by other than U.S. mail, the document shall be considered provided to the customer when delivered to the last-known address of the person responsible for payment for the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reflected in the written document. The document stating the terms and agreements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payment agreement. The utility shall offer a second payment agreement to a customer who is in default of a first payment agreement if the customer has made at least two consecutive full payments under the first payment agreement. </w:t>
      </w:r>
    </w:p>
    <w:p>
      <w:pPr>
        <w:spacing w:before="0" w:after="0"/>
        <w:ind w:left="120"/>
        <w:jc w:val="both"/>
      </w:pPr>
      <w:r>
        <w:rPr>
          <w:rFonts w:ascii="Times New Roman" w:hAnsi="Times New Roman"/>
          <w:b w:val="false"/>
          <w:i w:val="false"/>
          <w:color w:val="000000"/>
          <w:sz w:val="22"/>
        </w:rPr>
        <w:t>     1.   </w:t>
      </w:r>
    </w:p>
    <w:p>
      <w:pPr>
        <w:spacing w:before="0" w:after="0"/>
        <w:ind w:left="120"/>
        <w:jc w:val="both"/>
      </w:pPr>
      <w:r>
        <w:rPr>
          <w:rFonts w:ascii="Times New Roman" w:hAnsi="Times New Roman"/>
          <w:b w:val="false"/>
          <w:i w:val="false"/>
          <w:color w:val="000000"/>
          <w:sz w:val="22"/>
        </w:rPr>
        <w:t xml:space="preserve">The second payment agreement shall be for a term at least as long as the term of the first payment agreement. </w:t>
      </w:r>
    </w:p>
    <w:p>
      <w:pPr>
        <w:spacing w:before="0" w:after="0"/>
        <w:ind w:left="120"/>
        <w:jc w:val="both"/>
      </w:pPr>
    </w:p>
    <w:p>
      <w:pPr>
        <w:spacing w:before="0" w:after="0"/>
        <w:ind w:left="120"/>
        <w:jc w:val="both"/>
      </w:pPr>
      <w:r>
        <w:rPr>
          <w:rFonts w:ascii="Times New Roman" w:hAnsi="Times New Roman"/>
          <w:b w:val="false"/>
          <w:i w:val="false"/>
          <w:color w:val="000000"/>
          <w:sz w:val="22"/>
        </w:rPr>
        <w:t>     2.   </w:t>
      </w:r>
    </w:p>
    <w:p>
      <w:pPr>
        <w:spacing w:before="0" w:after="0"/>
        <w:ind w:left="120"/>
        <w:jc w:val="both"/>
      </w:pPr>
      <w:r>
        <w:rPr>
          <w:rFonts w:ascii="Times New Roman" w:hAnsi="Times New Roman"/>
          <w:b w:val="false"/>
          <w:i w:val="false"/>
          <w:color w:val="000000"/>
          <w:sz w:val="22"/>
        </w:rPr>
        <w:t xml:space="preserve">The customer shall be required to pay for current service in addition to the monthly payments under the second payment agreement and may be required to make the first payment up-front as a condition of entering into the second payment agreement. </w:t>
      </w:r>
    </w:p>
    <w:p>
      <w:pPr>
        <w:spacing w:before="0" w:after="0"/>
        <w:ind w:left="120"/>
        <w:jc w:val="both"/>
      </w:pPr>
    </w:p>
    <w:p>
      <w:pPr>
        <w:spacing w:before="0" w:after="0"/>
        <w:ind w:left="120"/>
        <w:jc w:val="both"/>
      </w:pPr>
      <w:r>
        <w:rPr>
          <w:rFonts w:ascii="Times New Roman" w:hAnsi="Times New Roman"/>
          <w:b w:val="false"/>
          <w:i w:val="false"/>
          <w:color w:val="000000"/>
          <w:sz w:val="22"/>
        </w:rPr>
        <w:t>     3.   </w:t>
      </w:r>
    </w:p>
    <w:p>
      <w:pPr>
        <w:spacing w:before="0" w:after="0"/>
        <w:ind w:left="120"/>
        <w:jc w:val="both"/>
      </w:pPr>
      <w:r>
        <w:rPr>
          <w:rFonts w:ascii="Times New Roman" w:hAnsi="Times New Roman"/>
          <w:b w:val="false"/>
          <w:i w:val="false"/>
          <w:color w:val="000000"/>
          <w:sz w:val="22"/>
        </w:rPr>
        <w:t xml:space="preserve">The utility may also require the customer to enter into a budget billing plan to pay the current bill. </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of the customer’s final offer,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handed to the customer or when delivered to the last-known address of the person responsible for the payment for the service.</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The request for assistance must be made to the commission within ten days after the written refusal is provided. During the review of this request, the utility shall not disconnect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19.4(12)</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 xml:space="preserve">The bill shall be considered provided to the customer when deposited in the U.S. mail with postage prepaid. If delivery is by other than U.S. mail, the bill shall be considered provided when delivered to the last-known address of the party responsible for payment. There shall be not less than 20 days between the providing of a bill and the date by which the account becomes delinquent. Bills for customers on more frequent billing intervals under subrule </w:t>
      </w:r>
      <w:hyperlink r:id="rId35">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xml:space="preserve"> may not be considered delinquent less than 5 days from the date the bill is provided. However, a late payment charge may not be assessed if payment is received within 20 days of the date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delinquency for all residential customers or other customers whose consumption is less than 250 ccf per month shall be changeable for cause, such as, but not limited to, 15 days from approximate date each month upon which income is received by the person responsible for payment. In no case, however, shall the utility be required to delay the date of delinquency more than 30 days beyond the date of preparation of the previous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shall not exceed 1.5 percent per month of the past due amount. No collection fee may be levied in addition to this late payment charge. This rule does not prohibit cost-justified charges for disconnection and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customer makes partial payment in a timely manner, and does not designate the service or product for which payment is made, the payment shall be credited pro rata between the bill for utility services and related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 Complete forgiveness prohibits any effect upon the credit rating of the customer or collection of late payment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Budget billing plan. Utilities shall offer a budget billing plan to all residential customers or other customers whose consumption is less than 250 ccf per month. A budget billing plan should be designed to limit the volatility of a customer’s bill and maintain reasonable account balances. The budget billing plan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offered to each eligible customer when the customer initially requests service. The plan may be estimated if there is insufficient usage history to create a budget billing plan based on actual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 for entry into the budget billing plan anytime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that a customer may request termination of the plan at any time. If the customer’s account is in arrears at the time of termination, the balance shall be due and payable at the time of termination. If there is a credit balance, the customer shall be allowed the option of obtaining a refund or applying the credit to future charges. A utility is not required to offer a new budget billing plan to a customer for six months after the customer has terminated from a budget billing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 computation method that produces a reasonable monthly budget billing amount, which may take into account forward-looking factors such as fuel price and weather forecasts, and that complies with requirements in this subrule. The computation method used by the utility shall be described in the utility’s tariff and shall be subject to commission approval. The utility shall give notice to customers when it changes the type of computation method in the budget billing plan.</w:t>
      </w:r>
    </w:p>
    <w:p>
      <w:pPr>
        <w:spacing w:before="0" w:after="0"/>
        <w:ind w:left="120"/>
        <w:jc w:val="both"/>
      </w:pPr>
      <w:r>
        <w:rPr>
          <w:rFonts w:ascii="Times New Roman" w:hAnsi="Times New Roman"/>
          <w:b w:val="false"/>
          <w:i w:val="false"/>
          <w:color w:val="000000"/>
          <w:sz w:val="22"/>
        </w:rPr>
        <w:t>The amount to be paid at each billing interval by a customer on a budget billing plan shall be computed at the time of entry into the plan and shall be recomputed at least annually. The budget billing amount may be recomputed monthly, quarterly, when requested by the customer, or whenever price, consumption, or a combination of factors results in a new estimate differing by 10 percent or more from that in use.</w:t>
      </w:r>
    </w:p>
    <w:p>
      <w:pPr>
        <w:spacing w:before="0" w:after="0"/>
        <w:ind w:left="120"/>
        <w:jc w:val="both"/>
      </w:pPr>
      <w:r>
        <w:rPr>
          <w:rFonts w:ascii="Times New Roman" w:hAnsi="Times New Roman"/>
          <w:b w:val="false"/>
          <w:i w:val="false"/>
          <w:color w:val="000000"/>
          <w:sz w:val="22"/>
        </w:rPr>
        <w:t>When the budget billing amount is recomputed, the budget billing plan account balance shall be divided by 12, and the resulting amount shall be added to the estimated monthly budget billing amount. Except when a utility has a budget billing plan that recomputes the budget billing amount monthly, the customer shall be given the option of applying any credit to payments of subsequent months’ budget billing amounts due or of obtaining a refund of any credit in excess of $25.</w:t>
      </w:r>
    </w:p>
    <w:p>
      <w:pPr>
        <w:spacing w:before="0" w:after="0"/>
        <w:ind w:left="120"/>
        <w:jc w:val="both"/>
      </w:pPr>
      <w:r>
        <w:rPr>
          <w:rFonts w:ascii="Times New Roman" w:hAnsi="Times New Roman"/>
          <w:b w:val="false"/>
          <w:i w:val="false"/>
          <w:color w:val="000000"/>
          <w:sz w:val="22"/>
        </w:rPr>
        <w:t>Except when a utility has a budget billing plan that recomputes the budget billing amount monthly, the customer shall be notified of the recomputed payment amount not less than one full billing cycle prior to the date of delinquency for the recomputed payment. The notice may accompany the bill prior to the bill that is affected by the recomputed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Irrespective of the account balance, a delinquency in payment shall be subject to the same collection and disconnection procedures as other accounts, with the late payment charge applied to the budget billing amount. If the account balance is a credit, the budget billing plan may be terminated by the utility after 30 days of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19.4(13)</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The utility shall retain customer billing records for the length of time necessary to permit the utility to comply with 19.4(14) but not less than five years. Customer billing records shall show,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Therm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19.4(14)</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which are incorrect due to billing errors or faulty metering installation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Fast metering. Whenever a metering installation is tested and found to have overregistered more than 2 percent, the utility shall recalculate the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bills for service shall be recalculated from the time at which the error first developed or occurred if that time can be definitely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time at which the error first developed or occurred cannot be definitely determined, it shall be assumed that the overregistration has existed for the shortest time period calculated as one-half the time since the meter was installed or one-half the time elapsed since the last meter test unless otherwise ordered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recalculated bills indicate that $5 or more is due an existing customer or $10 or more is due a person no longer a customer of the utility, the tariff shall provide for refunding of the full amount of the calculated difference between the amount paid and the recalculated amount. Refunds shall be made to the two most recent customers who received service through the metering installation during the time the error existed. In the case of a previous customer who is no longer a customer of the utility, a notice of the amount subject to refund shall be mailed to such previous customer at the last-known address, and the utility shall, upon demand made within three months thereafter, refund the same.</w:t>
      </w:r>
    </w:p>
    <w:p>
      <w:pPr>
        <w:spacing w:before="0" w:after="0"/>
        <w:ind w:left="120"/>
        <w:jc w:val="both"/>
      </w:pPr>
      <w:r>
        <w:rPr>
          <w:rFonts w:ascii="Times New Roman" w:hAnsi="Times New Roman"/>
          <w:b w:val="false"/>
          <w:i w:val="false"/>
          <w:color w:val="000000"/>
          <w:sz w:val="22"/>
        </w:rPr>
        <w:t>Refunds shall be completed within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Slow metering. Whenever a meter is found to be more than 2 percent slow, the tariff may provide for back billing the customer for the amount the test indicates has been undercharged for the period of inaccuracy.</w:t>
      </w:r>
    </w:p>
    <w:p>
      <w:pPr>
        <w:spacing w:before="0" w:after="0"/>
        <w:ind w:left="120"/>
        <w:jc w:val="both"/>
      </w:pPr>
      <w:r>
        <w:rPr>
          <w:rFonts w:ascii="Times New Roman" w:hAnsi="Times New Roman"/>
          <w:b w:val="false"/>
          <w:i w:val="false"/>
          <w:color w:val="000000"/>
          <w:sz w:val="22"/>
        </w:rPr>
        <w:t>When the average error cannot be determined by test because of failure of part or all of the metering equipment, the tariff may provide for use of the registration of check metering installation, if any, or for estimating the quantity consumed based on available data. The customer must be advised of the failure and of the basis for the estimate of quantity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may not back bill due to underregistration unless a minimum back bill amount is specified in its tariff. The minimum amount specified for back billing shall not be less than, but may be greater than, $5 for an existing customer or $10 for a former customer. All recalculations resulting in an amount due equal or greater than the tariff specified minimum shall result in issuance of a back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for back billing shall not exceed the last six months the meter was in service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Back billings shall be provided no later than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Billing adjustments due to fast or slow meters shall be calculated on the basis that the meter should be 100 percent accurate. For the purpose of billing adjustment the meter error shall be one-half of the algebraic sum of the error at full-rated flow plus the error at check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 or other similar reasons, the amount of the overcharge shall be adjusted, refunded, or credited to the customer. The time period for which the utility is required to adjust, refund, or credit the customer’s bill shall not exceed five years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Undercharges. When a customer has been undercharged as a result of incorrect reading of the meter, incorrect application of the rate schedule, incorrect connection of the meter, or other similar reasons, the amount of the undercharge may be billed to the customer. The period for which the utility may adjust for the undercharge shall not exceed five years unless otherwise ordered by the commission. The maximum back bill shall not exceed the dollar amount equivalent to the tariffed rate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Credits and explanations. Credits due a customer because of meter inaccuracies, errors in billing, or misapplication of rates shall be separately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19.4(15)</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A utility shall refuse service or disconnect service to a customer, as defined in subrule </w:t>
      </w:r>
      <w:hyperlink r:id="rId36">
        <w:r>
          <w:rPr>
            <w:rStyle w:val="Hyperlink"/>
            <w:rFonts w:ascii="Times New Roman" w:hAnsi="Times New Roman"/>
            <w:b w:val="false"/>
            <w:i w:val="false"/>
            <w:color w:val="000000"/>
            <w:sz w:val="22"/>
          </w:rPr>
          <w:t>19.1(3)</w:t>
        </w:r>
      </w:hyperlink>
      <w:r>
        <w:rPr>
          <w:rFonts w:ascii="Times New Roman" w:hAnsi="Times New Roman"/>
          <w:b w:val="false"/>
          <w:i w:val="false"/>
          <w:color w:val="000000"/>
          <w:sz w:val="22"/>
        </w:rPr>
        <w:t>, in accordance with tariffs that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give written notice of pending disconnection except as specified in paragraph </w:t>
      </w:r>
      <w:hyperlink r:id="rId37">
        <w:r>
          <w:rPr>
            <w:rStyle w:val="Hyperlink"/>
            <w:rFonts w:ascii="Times New Roman" w:hAnsi="Times New Roman"/>
            <w:b w:val="false"/>
            <w:i w:val="false"/>
            <w:color w:val="000000"/>
            <w:sz w:val="22"/>
          </w:rPr>
          <w:t>19.4(15)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notice shall set forth the reason for the notice and final date by which the account is to be settled or specific action taken. The notice shall be considered provided to the customer when addressed to the customer’s last-known address and deposited in the U.S. mail with postage prepaid. If delivery is by other than U.S. mail, the notice shall be considered provided when delivered to the last-known address of the person responsible for payment for the service. The date for disconnection of service shall be not less than 12 days after the notice is provided. The date for disconnection of service for customers on shorter billing intervals under subrule </w:t>
      </w:r>
      <w:hyperlink r:id="rId38">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xml:space="preserve"> shall not be less than 24 hours after the notice is posted at the service premises.</w:t>
      </w:r>
    </w:p>
    <w:p>
      <w:pPr>
        <w:spacing w:before="0" w:after="0"/>
        <w:ind w:left="120"/>
        <w:jc w:val="both"/>
      </w:pPr>
      <w:r>
        <w:rPr>
          <w:rFonts w:ascii="Times New Roman" w:hAnsi="Times New Roman"/>
          <w:b w:val="false"/>
          <w:i w:val="false"/>
          <w:color w:val="000000"/>
          <w:sz w:val="22"/>
        </w:rPr>
        <w:t>One written notice, including all reasons for the notice, shall be given where more than one cause exists for disconnection of service. In determining the final date by which the account is to be settled or other specific action taken, the days of notice for the causes shall be concurrent.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of a condition determined by the utility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customer use of equipment in a manner which adversely affects the utility’s equipment or the utility’s service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of tampering with the equipment furnished and owned by the utility. For the purposes of this subrule, a broken or absent meter seal alone shall not constitute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of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or refused after proper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furnish the service equipment, permits, certificates, or rights-of-way which are specified to be furnished, in the utility’s rules filed with the commission,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may be refused or disconnected after proper notice for nonpayment of a bill or deposit, except as restricted by subrules </w:t>
      </w:r>
      <w:hyperlink r:id="rId39">
        <w:r>
          <w:rPr>
            <w:rStyle w:val="Hyperlink"/>
            <w:rFonts w:ascii="Times New Roman" w:hAnsi="Times New Roman"/>
            <w:b w:val="false"/>
            <w:i w:val="false"/>
            <w:color w:val="000000"/>
            <w:sz w:val="22"/>
          </w:rPr>
          <w:t>19.4(16)</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19.4(17)</w:t>
        </w:r>
      </w:hyperlink>
      <w:r>
        <w:rPr>
          <w:rFonts w:ascii="Times New Roman" w:hAnsi="Times New Roman"/>
          <w:b w:val="false"/>
          <w:i w:val="false"/>
          <w:color w:val="000000"/>
          <w:sz w:val="22"/>
        </w:rPr>
        <w:t>, provided that the utility has complied with the following provisions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available. Customers billed more frequently than monthly pursuant to subrule </w:t>
      </w:r>
      <w:hyperlink r:id="rId41">
        <w:r>
          <w:rPr>
            <w:rStyle w:val="Hyperlink"/>
            <w:rFonts w:ascii="Times New Roman" w:hAnsi="Times New Roman"/>
            <w:b w:val="false"/>
            <w:i w:val="false"/>
            <w:color w:val="000000"/>
            <w:sz w:val="22"/>
          </w:rPr>
          <w:t>19.3(7)</w:t>
        </w:r>
      </w:hyperlink>
      <w:r>
        <w:rPr>
          <w:rFonts w:ascii="Times New Roman" w:hAnsi="Times New Roman"/>
          <w:b w:val="false"/>
          <w:i w:val="false"/>
          <w:color w:val="000000"/>
          <w:sz w:val="22"/>
        </w:rPr>
        <w:t xml:space="preserve"> shall be given posted written notice that they have 24 hours to make settlement of the account to avoid disconnection and a written summary of the rights and responsibilities. All written notices shall include a toll-free or collect telephone number where a utility representative qualified to provide additional information about the disconnection can be reached. Each utility representative must provide the representative’s name and have immediate access to current, detailed information concerning the customer’s account and previous contacts with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summary of the rights and responsibilities must be approved by the commission. Any utility providing gas service and defined as a public utility in Iowa Code section </w:t>
      </w:r>
      <w:hyperlink r:id="rId42">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which does not use the standard form set forth below for customers billed monthly shall submit to the commission electronically its proposed form for approval. A utility billing a combination customer for both gas and electric service may modify the standard form to replace each use of the word “gas” with the words “gas and electric” in all instances.</w:t>
      </w:r>
    </w:p>
    <w:p>
      <w:pPr>
        <w:spacing w:before="0" w:after="0"/>
        <w:ind w:left="120"/>
        <w:jc w:val="center"/>
      </w:pPr>
      <w:r>
        <w:rPr>
          <w:rFonts w:ascii="Times New Roman" w:hAnsi="Times New Roman"/>
          <w:b/>
          <w:i w:val="false"/>
          <w:color w:val="000000"/>
          <w:sz w:val="22"/>
        </w:rPr>
        <w:t>CUSTOMER RIGHTS AND RESPONSIBILITIES TO AVOID SHUTOFF</w:t>
      </w:r>
    </w:p>
    <w:p>
      <w:pPr>
        <w:spacing w:before="0" w:after="0"/>
        <w:ind w:left="120"/>
        <w:jc w:val="center"/>
      </w:pPr>
      <w:r>
        <w:rPr>
          <w:rFonts w:ascii="Times New Roman" w:hAnsi="Times New Roman"/>
          <w:b/>
          <w:i w:val="false"/>
          <w:color w:val="000000"/>
          <w:sz w:val="22"/>
        </w:rPr>
        <w:t>OF GAS SERVICE FOR NONPAYMENT</w:t>
      </w:r>
    </w:p>
    <w:p>
      <w:pPr>
        <w:spacing w:before="0" w:after="0"/>
        <w:ind w:left="120"/>
        <w:jc w:val="both"/>
      </w:pPr>
      <w:r>
        <w:rPr>
          <w:rFonts w:ascii="Times New Roman" w:hAnsi="Times New Roman"/>
          <w:b/>
          <w:i w:val="false"/>
          <w:color w:val="000000"/>
          <w:sz w:val="22"/>
        </w:rPr>
        <w:t>1. What can I do if I receive a notice from the utility that says my gas service will be shut off because I have a past due bill?</w:t>
      </w:r>
    </w:p>
    <w:p>
      <w:pPr>
        <w:spacing w:before="0" w:after="0"/>
        <w:ind w:left="120"/>
        <w:jc w:val="both"/>
      </w:pPr>
      <w:r>
        <w:rPr>
          <w:rFonts w:ascii="Times New Roman" w:hAnsi="Times New Roman"/>
          <w:b w:val="false"/>
          <w:i w:val="false"/>
          <w:color w:val="000000"/>
          <w:sz w:val="22"/>
        </w:rPr>
        <w:t>a. Pay the bill in full; or</w:t>
      </w:r>
    </w:p>
    <w:p>
      <w:pPr>
        <w:spacing w:before="0" w:after="0"/>
        <w:ind w:left="120"/>
        <w:jc w:val="both"/>
      </w:pPr>
      <w:r>
        <w:rPr>
          <w:rFonts w:ascii="Times New Roman" w:hAnsi="Times New Roman"/>
          <w:b w:val="false"/>
          <w:i w:val="false"/>
          <w:color w:val="000000"/>
          <w:sz w:val="22"/>
        </w:rPr>
        <w:t>b. Enter into a reasonable payment plan with the utility (see #2 below); or</w:t>
      </w:r>
    </w:p>
    <w:p>
      <w:pPr>
        <w:spacing w:before="0" w:after="0"/>
        <w:ind w:left="120"/>
        <w:jc w:val="both"/>
      </w:pPr>
      <w:r>
        <w:rPr>
          <w:rFonts w:ascii="Times New Roman" w:hAnsi="Times New Roman"/>
          <w:b w:val="false"/>
          <w:i w:val="false"/>
          <w:color w:val="000000"/>
          <w:sz w:val="22"/>
        </w:rPr>
        <w:t>c. Apply for and become eligible for low-income energy assistance (see #3 below); or</w:t>
      </w:r>
    </w:p>
    <w:p>
      <w:pPr>
        <w:spacing w:before="0" w:after="0"/>
        <w:ind w:left="120"/>
        <w:jc w:val="both"/>
      </w:pPr>
      <w:r>
        <w:rPr>
          <w:rFonts w:ascii="Times New Roman" w:hAnsi="Times New Roman"/>
          <w:b w:val="false"/>
          <w:i w:val="false"/>
          <w:color w:val="000000"/>
          <w:sz w:val="22"/>
        </w:rPr>
        <w:t>d. Give the utility a written statement from a doctor or public health official stating that shutting off your gas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the utility may offer you a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low-income energy assistance? (Residential customers only)</w:t>
      </w:r>
    </w:p>
    <w:p>
      <w:pPr>
        <w:spacing w:before="0" w:after="0"/>
        <w:ind w:left="120"/>
        <w:jc w:val="both"/>
      </w:pPr>
      <w:r>
        <w:rPr>
          <w:rFonts w:ascii="Times New Roman" w:hAnsi="Times New Roman"/>
          <w:b w:val="false"/>
          <w:i w:val="false"/>
          <w:color w:val="000000"/>
          <w:sz w:val="22"/>
        </w:rPr>
        <w:t xml:space="preserve">a. Contact the local community action agency in your area (see attached list) or visit </w:t>
      </w:r>
      <w:hyperlink r:id="rId43">
        <w:r>
          <w:rPr>
            <w:rStyle w:val="Hyperlink"/>
            <w:rFonts w:ascii="Times New Roman" w:hAnsi="Times New Roman"/>
            <w:b w:val="false"/>
            <w:i w:val="false"/>
            <w:color w:val="000000"/>
            <w:sz w:val="22"/>
            <w:u w:val="single"/>
          </w:rPr>
          <w:t>humanrights.iowa.gov/dcaa/where-apply</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c. Being certified eligible for energy assistance will prevent your service from being disconnected from November 1 through April 1.</w:t>
      </w:r>
    </w:p>
    <w:p>
      <w:pPr>
        <w:spacing w:before="0" w:after="0"/>
        <w:ind w:left="120"/>
        <w:jc w:val="both"/>
      </w:pPr>
      <w:r>
        <w:rPr>
          <w:rFonts w:ascii="Times New Roman" w:hAnsi="Times New Roman"/>
          <w:b w:val="false"/>
          <w:i w:val="false"/>
          <w:color w:val="000000"/>
          <w:sz w:val="22"/>
        </w:rPr>
        <w:t>d. If you have additional questions, contact the Division of Community Action Agencies at the Iowa Department of Human Rights, Lucas State Office Building, Des Moines, Iowa 50319; telephone (515)281-3861.</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utility if you believe this is the case. Contact your doctor or a public health official and ask the doctor or health official to contact the utility and state that shutting off your utility service would pose an especial health danger for a person living at your residence. The doctor or public health official must provide a written statement to the utility office within 5 days of when your doctor or public health official notifies the utility of the health condition; otherwise, your utility service may be shut off. If the utility receives this written statement, your service will not be shut off for 30 days. This 30-day delay is to allow you time to arrange payment of your utility bill or find other living arrangements. After 30 days, your service may be shut off if payment arrangements have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45 days from the date the bill was mailed while you and the utility work out the dispute over the part of the bill you think is incorrect. You may ask the Iowa Utilities Commission for assistance in resolving the dispute. (See #9 below.)</w:t>
      </w:r>
    </w:p>
    <w:p>
      <w:pPr>
        <w:spacing w:before="0" w:after="0"/>
        <w:ind w:left="120"/>
        <w:jc w:val="both"/>
      </w:pPr>
      <w:r>
        <w:rPr>
          <w:rFonts w:ascii="Times New Roman" w:hAnsi="Times New Roman"/>
          <w:b/>
          <w:i w:val="false"/>
          <w:color w:val="000000"/>
          <w:sz w:val="22"/>
        </w:rPr>
        <w:t>6. When can the utility shut off my utility service because I have not paid my bill?</w:t>
      </w:r>
    </w:p>
    <w:p>
      <w:pPr>
        <w:spacing w:before="0" w:after="0"/>
        <w:ind w:left="120"/>
        <w:jc w:val="both"/>
      </w:pPr>
      <w:r>
        <w:rPr>
          <w:rFonts w:ascii="Times New Roman" w:hAnsi="Times New Roman"/>
          <w:b w:val="false"/>
          <w:i w:val="false"/>
          <w:color w:val="000000"/>
          <w:sz w:val="22"/>
        </w:rPr>
        <w:t>a. Your utility can shut off service between the hours of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2 p.m., Monday through Friday.</w:t>
      </w:r>
    </w:p>
    <w:p>
      <w:pPr>
        <w:spacing w:before="0" w:after="0"/>
        <w:ind w:left="120"/>
        <w:jc w:val="both"/>
      </w:pPr>
      <w:r>
        <w:rPr>
          <w:rFonts w:ascii="Times New Roman" w:hAnsi="Times New Roman"/>
          <w:b w:val="false"/>
          <w:i w:val="false"/>
          <w:color w:val="000000"/>
          <w:sz w:val="22"/>
        </w:rPr>
        <w:t>b. The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e. If you have qualified for low-income energy assistance, the utility cannot shut off your service from November 1 through April 1. However, you will still owe the utility for the service used during this time.</w:t>
      </w:r>
    </w:p>
    <w:p>
      <w:pPr>
        <w:spacing w:before="0" w:after="0"/>
        <w:ind w:left="120"/>
        <w:jc w:val="both"/>
      </w:pPr>
      <w:r>
        <w:rPr>
          <w:rFonts w:ascii="Times New Roman" w:hAnsi="Times New Roman"/>
          <w:b w:val="false"/>
          <w:i w:val="false"/>
          <w:color w:val="000000"/>
          <w:sz w:val="22"/>
        </w:rPr>
        <w:t>f. The utility will not shut off your service if you have notified the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utility service cannot be shut off during the deployment or within 90 days after the end of deployment. In order for this exception to disconnection to apply, the utility must be informed of the deployment prior to disconnection. However, you will still owe the utility for service used during this time.</w:t>
      </w:r>
    </w:p>
    <w:p>
      <w:pPr>
        <w:spacing w:before="0" w:after="0"/>
        <w:ind w:left="120"/>
        <w:jc w:val="both"/>
      </w:pPr>
      <w:r>
        <w:rPr>
          <w:rFonts w:ascii="Times New Roman" w:hAnsi="Times New Roman"/>
          <w:b/>
          <w:i w:val="false"/>
          <w:color w:val="000000"/>
          <w:sz w:val="22"/>
        </w:rPr>
        <w:t>7. How will I be told the utility is going to shut off my gas service?</w:t>
      </w:r>
    </w:p>
    <w:p>
      <w:pPr>
        <w:spacing w:before="0" w:after="0"/>
        <w:ind w:left="120"/>
        <w:jc w:val="both"/>
      </w:pPr>
      <w:r>
        <w:rPr>
          <w:rFonts w:ascii="Times New Roman" w:hAnsi="Times New Roman"/>
          <w:b w:val="false"/>
          <w:i w:val="false"/>
          <w:color w:val="000000"/>
          <w:sz w:val="22"/>
        </w:rPr>
        <w:t>a. You must be given a written notice at least 12 days before the utility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utility must also try to reach you by telephone or in person before it shuts off your service. From November 1 through April 1, if the utility cannot reach you by telephone or in person, the utility will put a written notice on the door or another conspicuous place of your residence to tell you that your utility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if you pay the whole amount you owe or agree to a reasonable payment plan (see #2 above).</w:t>
      </w:r>
    </w:p>
    <w:p>
      <w:pPr>
        <w:spacing w:before="0" w:after="0"/>
        <w:ind w:left="120"/>
        <w:jc w:val="both"/>
      </w:pPr>
      <w:r>
        <w:rPr>
          <w:rFonts w:ascii="Times New Roman" w:hAnsi="Times New Roman"/>
          <w:b w:val="false"/>
          <w:i w:val="false"/>
          <w:color w:val="000000"/>
          <w:sz w:val="22"/>
        </w:rPr>
        <w:t>b. If you make your payment during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regular business hours, the utility must make a reasonable effort to turn your service back on that day. If service cannot reasonably be turned on that same day, the utility must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utility may charge you a fee to turn your service back on. Those fees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1-877-565-4450. You may also write the Iowa Utilities Commission at 1375 E. Court Avenue, Room 69, Des Moines, Iowa 50319-0069, or by email at </w:t>
      </w:r>
      <w:r>
        <w:rPr>
          <w:rFonts w:ascii="Times New Roman" w:hAnsi="Times New Roman"/>
          <w:b w:val="false"/>
          <w:i w:val="false"/>
          <w:color w:val="000000"/>
          <w:sz w:val="22"/>
          <w:u w:val="single"/>
        </w:rPr>
        <w:t>customer@iuc.iowa.gov</w:t>
      </w:r>
      <w:r>
        <w:rPr>
          <w:rFonts w:ascii="Times New Roman" w:hAnsi="Times New Roman"/>
          <w:b w:val="false"/>
          <w:i w:val="false"/>
          <w:color w:val="000000"/>
          <w:sz w:val="22"/>
        </w:rPr>
        <w:t>. Low-income customers may also be eligible for free legal assistance from Iowa Legal Aid, and may contact Legal Aid at 1-800-532-1275.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disconnecting service to a residence, made a diligent attempt to contact, by telephone or in person, the customer responsible for payment for service to the residence to inform the customer of the pending disconnection and the customer’s rights and responsibilities. During the period from November 1 through April 1, if the attempt at customer contact fails, the premises shall be posted at least one day prior to disconnection with a notice informing the customer of the pending disconnection and rights and responsibilities available to avoid disconnection.</w:t>
      </w:r>
    </w:p>
    <w:p>
      <w:pPr>
        <w:spacing w:before="0" w:after="0"/>
        <w:ind w:left="120"/>
        <w:jc w:val="both"/>
      </w:pPr>
      <w:r>
        <w:rPr>
          <w:rFonts w:ascii="Times New Roman" w:hAnsi="Times New Roman"/>
          <w:b w:val="false"/>
          <w:i w:val="false"/>
          <w:color w:val="000000"/>
          <w:sz w:val="22"/>
        </w:rPr>
        <w:t>If an attempt at personal or telephone contact of a customer occupying a rental unit has been unsuccessful, the utility shall make a diligent attempt to contact the landlord of the rental unit, if known, to determine if the customer is still in occupancy and, if so, the customer’s present location. The landlord shall also be informed of the date when service may be disconnected. The utility shall make a diligent attempt to inform the landlord at least 48 hours prior to disconnection of service to a tenant.</w:t>
      </w:r>
    </w:p>
    <w:p>
      <w:pPr>
        <w:spacing w:before="0" w:after="0"/>
        <w:ind w:left="120"/>
        <w:jc w:val="both"/>
      </w:pPr>
      <w:r>
        <w:rPr>
          <w:rFonts w:ascii="Times New Roman" w:hAnsi="Times New Roman"/>
          <w:b w:val="false"/>
          <w:i w:val="false"/>
          <w:color w:val="000000"/>
          <w:sz w:val="22"/>
        </w:rPr>
        <w:t>If the disconnection will affect occupants of residential units leased from the customer, the premises of any building known by the utility to contain residential units affected by disconnection must be posted, at least two days prior to disconnection, with a notice informing any occupants of the date when service will be disconnected and the reasons for the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Disputed bill. If the customer has received notice of disconnection and has a dispute concerning a bill for natural gas service, the utility may require the customer to pay a sum of money equal to the amount of the undisputed portion of the bill pending settlement and thereby avoid disconnection of service. A utility shall delay disconnection for nonpayment of the disputed bill for up to 45 days after the providing of the bill if the customer pays the undisputed amount. The 45 days shall be extended by up to 60 days if requested of the utility by the commission in the event the customer files a written complaint with the commission in compliance with </w:t>
      </w:r>
      <w:hyperlink r:id="rId44">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Reconnection. Disconnection of a residential customer may take place only between the hours of 6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2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a weekday and not on weekends or holidays. If a disconnected customer makes payment or other arrangements during normal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normal business hours, all reasonable efforts shall be made to reconnect the customer that day. If a disconnected customer makes payment or other arrangements after 7 p.m., all reasonable efforts shall be made to reconnect the customer not later than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Severe cold weather. A disconnection may not take place where gas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of a resident. Disconnection of a residential customer shall be postponed if the disconnection of service would present an especial danger to the health of any permanent resident of the premises. 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which indicate a severe or hazardous health situation.</w:t>
      </w:r>
    </w:p>
    <w:p>
      <w:pPr>
        <w:spacing w:before="0" w:after="0"/>
        <w:ind w:left="120"/>
        <w:jc w:val="both"/>
      </w:pPr>
      <w:r>
        <w:rPr>
          <w:rFonts w:ascii="Times New Roman" w:hAnsi="Times New Roman"/>
          <w:b w:val="false"/>
          <w:i w:val="false"/>
          <w:color w:val="000000"/>
          <w:sz w:val="22"/>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both"/>
      </w:pPr>
      <w:r>
        <w:rPr>
          <w:rFonts w:ascii="Times New Roman" w:hAnsi="Times New Roman"/>
          <w:b w:val="false"/>
          <w:i w:val="false"/>
          <w:color w:val="000000"/>
          <w:sz w:val="22"/>
        </w:rPr>
        <w:t xml:space="preserve">Verification shall postpone disconnection for 30 days. In the event service is terminated within 14 days prior to verification of illness by or for a qualifying resident, service shall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 pursuant to paragraph </w:t>
      </w:r>
      <w:hyperlink r:id="rId45">
        <w:r>
          <w:rPr>
            <w:rStyle w:val="Hyperlink"/>
            <w:rFonts w:ascii="Times New Roman" w:hAnsi="Times New Roman"/>
            <w:b w:val="false"/>
            <w:i w:val="false"/>
            <w:color w:val="000000"/>
            <w:sz w:val="22"/>
          </w:rPr>
          <w:t>19.4(15)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Winter energy assistance (November 1 through April 1). If the utility is informed that the customer’s household may qualify for winter energy assistance or weatherization funds, there shall be no disconnection of service for 30 days from the date the utility is notified to allow the customer time to obtain assistance. Disconnection shall not take place from November 1 through April 1 for a resident who is a head of household and who has been certified to the public utility by the community action agency as eligible for either the low-income home energy assistance program or weatherization assistance program. A utility may develop an incentive program to delay disconnection on April 1 for customers who make payments throughout the November 1 through April 1 period. All such incentive programs shall be set forth in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Deployment. If the utility is informed that one of the heads of household as defined in Iowa Code section </w:t>
      </w:r>
      <w:hyperlink r:id="rId46">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47">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Abnormal gas consumption. A customer who is subject to disconnection for nonpayment of bill, and who has gas consumption which appears to the customer to be abnormally high, may request the utility to provide assistance in identifying the factors contributing to this usage pattern and to suggest remedial measures. The utility shall provide assistance by discussing patterns of gas usage which may be readily identifiable, suggesting that an energy audit be conducted, and identifying sources of energy conservation information and financial assistance which may be available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utility may disconnect gas service without the written 12-day notice for failure of the customer to comply with the terms of a payment agreement, except as provided in numbered paragraph 19.4(11)</w:t>
      </w:r>
      <w:r>
        <w:rPr>
          <w:rFonts w:ascii="Times New Roman" w:hAnsi="Times New Roman"/>
          <w:b w:val="false"/>
          <w:i/>
          <w:color w:val="000000"/>
          <w:sz w:val="22"/>
        </w:rPr>
        <w:t>“c”</w:t>
      </w:r>
      <w:r>
        <w:rPr>
          <w:rFonts w:ascii="Times New Roman" w:hAnsi="Times New Roman"/>
          <w:b w:val="false"/>
          <w:i w:val="false"/>
          <w:color w:val="000000"/>
          <w:sz w:val="22"/>
        </w:rPr>
        <w:t xml:space="preserve">(1)“4,” provided the utility complies with the provisions of paragraph </w:t>
      </w:r>
      <w:hyperlink r:id="rId48">
        <w:r>
          <w:rPr>
            <w:rStyle w:val="Hyperlink"/>
            <w:rFonts w:ascii="Times New Roman" w:hAnsi="Times New Roman"/>
            <w:b w:val="false"/>
            <w:i w:val="false"/>
            <w:color w:val="000000"/>
            <w:sz w:val="22"/>
          </w:rPr>
          <w:t>19.4(15)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utility shall, prior to November 1, mail customers a notice describing the availability of winter energy assistance funds and the application process. The notice must be of a type size that is easily legible and conspicuous and must contain the information set out by the state agency administering the assistance program. A utility serving fewer than 25,000 customers may publish the notice in a customer newsletter in lieu of mailing. A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19.4(16)</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shall not constitute sufficient cause for refusal of service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for merchandise purchased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public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pay the back bill provided in accordance with paragraph 19.4(14)</w:t>
      </w:r>
      <w:r>
        <w:rPr>
          <w:rFonts w:ascii="Times New Roman" w:hAnsi="Times New Roman"/>
          <w:b w:val="false"/>
          <w:i/>
          <w:color w:val="000000"/>
          <w:sz w:val="22"/>
        </w:rPr>
        <w:t>“b”</w:t>
      </w:r>
      <w:r>
        <w:rPr>
          <w:rFonts w:ascii="Times New Roman" w:hAnsi="Times New Roman"/>
          <w:b w:val="false"/>
          <w:i w:val="false"/>
          <w:color w:val="000000"/>
          <w:sz w:val="22"/>
        </w:rPr>
        <w:t xml:space="preserve"> (slow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pay adjusted bills based on the undercharges set forth in paragraph 19.4(14)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of a residential customer to pay a deposit during the period November 1 through April 1 for the location at which the customer has been receiving service in the customer’s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an occupant, if the customer applying for service is creditworthy and able to satisfy any deposit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last date of service for the account giving rise to the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disconnection of service for the account giving rise to the delinquency,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voluntary payment or voluntary written promise of payment made by the customer, if made before the ten-year period described in this paragraph has otherwise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that arose on or before September 4, 2010, pursuant to an oral contract, except in cases of fraud or deception that prevented the utility from timely addressing such delinquencies with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19.4(17)</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disconnection may take place from November 1 through April 1 for a resident who is a head of household and who has been certified to the public utility by the local community action agency as being eligible for either the low-income home energy assistance program or weatherization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is informed that one of the heads of household as defined in Iowa Code section </w:t>
      </w:r>
      <w:hyperlink r:id="rId49">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50">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19.4(18)</w:t>
      </w:r>
      <w:r>
        <w:rPr>
          <w:rFonts w:ascii="Times New Roman" w:hAnsi="Times New Roman"/>
          <w:b w:val="false"/>
          <w:i w:val="false"/>
          <w:color w:val="000000"/>
          <w:sz w:val="22"/>
        </w:rPr>
        <w:t> </w:t>
      </w:r>
      <w:r>
        <w:rPr>
          <w:rFonts w:ascii="Times New Roman" w:hAnsi="Times New Roman"/>
          <w:b w:val="false"/>
          <w:i/>
          <w:color w:val="000000"/>
          <w:sz w:val="22"/>
        </w:rPr>
        <w:t xml:space="preserve">Change in character of service. </w:t>
      </w:r>
      <w:r>
        <w:rPr>
          <w:rFonts w:ascii="Times New Roman" w:hAnsi="Times New Roman"/>
          <w:b w:val="false"/>
          <w:i w:val="false"/>
          <w:color w:val="000000"/>
          <w:sz w:val="22"/>
        </w:rPr>
        <w:t>The following shall apply to a material change in the character of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Changes under the control of the utility. </w:t>
      </w:r>
      <w:r>
        <w:rPr>
          <w:rFonts w:ascii="Times New Roman" w:hAnsi="Times New Roman"/>
          <w:b w:val="false"/>
          <w:i w:val="false"/>
          <w:color w:val="000000"/>
          <w:sz w:val="22"/>
        </w:rPr>
        <w:t xml:space="preserve">The utility shall make such changes only with the approval of the commission, and after adequate notice to the customers (see </w:t>
      </w:r>
      <w:hyperlink r:id="rId51">
        <w:r>
          <w:rPr>
            <w:rStyle w:val="Hyperlink"/>
            <w:rFonts w:ascii="Times New Roman" w:hAnsi="Times New Roman"/>
            <w:b w:val="false"/>
            <w:i w:val="false"/>
            <w:color w:val="000000"/>
            <w:sz w:val="22"/>
          </w:rPr>
          <w:t>19.7(6)</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Changes not under control of the utility or customer. </w:t>
      </w:r>
      <w:r>
        <w:rPr>
          <w:rFonts w:ascii="Times New Roman" w:hAnsi="Times New Roman"/>
          <w:b w:val="false"/>
          <w:i w:val="false"/>
          <w:color w:val="000000"/>
          <w:sz w:val="22"/>
        </w:rPr>
        <w:t xml:space="preserve">The utility shall adjust appliances to attain the proper combustion of the gas supplied. Due consideration shall be given to the gas heating value and specific gravity (see </w:t>
      </w:r>
      <w:hyperlink r:id="rId52">
        <w:r>
          <w:rPr>
            <w:rStyle w:val="Hyperlink"/>
            <w:rFonts w:ascii="Times New Roman" w:hAnsi="Times New Roman"/>
            <w:b w:val="false"/>
            <w:i w:val="false"/>
            <w:color w:val="000000"/>
            <w:sz w:val="22"/>
          </w:rPr>
          <w:t>19.7(6)</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Appliance adjustment charge. </w:t>
      </w:r>
      <w:r>
        <w:rPr>
          <w:rFonts w:ascii="Times New Roman" w:hAnsi="Times New Roman"/>
          <w:b w:val="false"/>
          <w:i w:val="false"/>
          <w:color w:val="000000"/>
          <w:sz w:val="22"/>
        </w:rPr>
        <w:t>The utility shall make any necessary adjustments to the customer’s appliances without charge and shall conduct the adjustment program with a minimum of inconvenience to the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19.4(19)</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Each utility shall investigate promptly and thoroughly and keep a record of written complaints and all other reasonable complaints received by it from its customers in regard to safety, service, or rates, and the operation of its system as will enable it to review and analyze its procedures and actions. The record shall show the name and address of the complainant, the date and nature of the complaint, and its disposition and the date thereof. All complaints caused by a major outage or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provide in its filed tariff a concise, fully informative procedure for the resolution of customer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take reasonable steps to ensure that customers unable to travel shall not be denied the right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step in a complaint hearing and review procedure shall be a filing for commission resolution of the issues.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9101B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gas plant of the utility shall be constructed, installed, maintained and operated in accordance with accepted good engineering practice in the gas industry to assure,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construction, operation, and maintenance of gas systems and liquefied natural gas facilities shall be in accordance with the following standards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49 CFR Part 191, “Transportation of Natural and Other Gas by Pipeline; Annual Reports, Incident Reports, and Safety-Related Condition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49 CFR Part 192, “Transportation of Natural and Other Gas by Pipeline: Minimum Federal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49 CFR Part 193, “Liquefied Natural Gas Facilities: Federal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49 CFR Part 199, “Drug and Alcohol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ASME B31.8 - 2016, “Gas Transmission and Distribution Piping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NFPA 59-2018, “Utility LP-Gas Plant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rule </w:t>
      </w:r>
      <w:hyperlink r:id="rId58">
        <w:r>
          <w:rPr>
            <w:rStyle w:val="Hyperlink"/>
            <w:rFonts w:ascii="Times New Roman" w:hAnsi="Times New Roman"/>
            <w:b w:val="false"/>
            <w:i w:val="false"/>
            <w:color w:val="000000"/>
            <w:sz w:val="22"/>
          </w:rPr>
          <w:t>199—42.7(476)</w:t>
        </w:r>
      </w:hyperlink>
      <w:r>
        <w:rPr>
          <w:rFonts w:ascii="Times New Roman" w:hAnsi="Times New Roman"/>
          <w:b w:val="false"/>
          <w:i w:val="false"/>
          <w:color w:val="000000"/>
          <w:sz w:val="22"/>
        </w:rPr>
        <w:t>, “Engineering standards for pipelines.”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publications are adopted as standards of accepted good practice for gas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ANSI Z223.1/NFPA 54-2018, “National Fuel Gas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NFPA 501A-2017, “Standard for Fire Safety Criteria for Manufactured Home Installations, Sites, and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Adequacy of gas supply. </w:t>
      </w:r>
      <w:r>
        <w:rPr>
          <w:rFonts w:ascii="Times New Roman" w:hAnsi="Times New Roman"/>
          <w:b w:val="false"/>
          <w:i w:val="false"/>
          <w:color w:val="000000"/>
          <w:sz w:val="22"/>
        </w:rPr>
        <w:t>The natural gas regularly available from supply sources supplemented by production or storage capacity must be sufficiently large to meet all reasonable demands for firm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Gas transmission and distribution facilities. </w:t>
      </w:r>
      <w:r>
        <w:rPr>
          <w:rFonts w:ascii="Times New Roman" w:hAnsi="Times New Roman"/>
          <w:b w:val="false"/>
          <w:i w:val="false"/>
          <w:color w:val="000000"/>
          <w:sz w:val="22"/>
        </w:rPr>
        <w:t>The utility’s gas transmission and distribution facilities shall be designed, constructed and maintained as required to reliably perform the gas delivery burden placed upon them. Each utility shall be capable of emergency repair work on a scale consistent with its scope of operation and with the physical conditions of its transmission and distribution facilities.</w:t>
      </w:r>
    </w:p>
    <w:p>
      <w:pPr>
        <w:spacing w:before="0" w:after="0"/>
        <w:ind w:left="120"/>
        <w:jc w:val="both"/>
      </w:pPr>
      <w:r>
        <w:rPr>
          <w:rFonts w:ascii="Times New Roman" w:hAnsi="Times New Roman"/>
          <w:b w:val="false"/>
          <w:i w:val="false"/>
          <w:color w:val="000000"/>
          <w:sz w:val="22"/>
        </w:rPr>
        <w:t>In appraising the reliability of the utility’s transmission and distribution system, the commission will consider, as principal factors, the condition of the physical property and the size, training, supervision, availability, equipment and mobility of the maintenance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Inspection of gas plant. </w:t>
      </w:r>
      <w:r>
        <w:rPr>
          <w:rFonts w:ascii="Times New Roman" w:hAnsi="Times New Roman"/>
          <w:b w:val="false"/>
          <w:i w:val="false"/>
          <w:color w:val="000000"/>
          <w:sz w:val="22"/>
        </w:rPr>
        <w:t>Each utility shall adopt a program of inspection of its gas plant in order to determine the necessity for replacement and repair. The frequency of the various inspections shall be based on the utility’s experience and accepted good practice. Each utility shall keep sufficient records to give evidence of compliance with its inspection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testing program. </w:t>
      </w:r>
      <w:r>
        <w:rPr>
          <w:rFonts w:ascii="Times New Roman" w:hAnsi="Times New Roman"/>
          <w:b w:val="false"/>
          <w:i w:val="false"/>
          <w:color w:val="000000"/>
          <w:sz w:val="22"/>
        </w:rPr>
        <w:t xml:space="preserve">Each utility shall adopt a written program for the inspection and testing of its meters to determine the necessity for adjustment, replacement or repair. The frequency of inspection and methods of testing shall be based on the utility’s experience, manufacturer’s recommendations, and accepted good practice. The commission considers the publications listed in </w:t>
      </w:r>
      <w:hyperlink r:id="rId59">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xml:space="preserve"> to be representative of accepted good practice. Each utility shall maintain inspection and testing records for each meter and associated device until three years after its retirement.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Program content. </w:t>
      </w:r>
      <w:r>
        <w:rPr>
          <w:rFonts w:ascii="Times New Roman" w:hAnsi="Times New Roman"/>
          <w:b w:val="false"/>
          <w:i w:val="false"/>
          <w:color w:val="000000"/>
          <w:sz w:val="22"/>
        </w:rPr>
        <w:t>The written program shall, at minimum, address the following subject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Classification of meters by capacity, type, and any other factor considered pertinent.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Checking of new meters for acceptable accuracy before being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of in-service meters, including any associated instruments or corrective devices, for accuracy, adjustments or repairs. This may be accomplished by periodic tests at specified intervals or on the basis of a statistical sampling plan, but shall include meters removed from service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Periodic calibration or testing of devices or instruments used by the utility to test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Leak testing of meters before return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limits of meter accuracy considered acceptable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nature of meter and meter test records maintained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Accepted good practice. </w:t>
      </w:r>
      <w:r>
        <w:rPr>
          <w:rFonts w:ascii="Times New Roman" w:hAnsi="Times New Roman"/>
          <w:b w:val="false"/>
          <w:i w:val="false"/>
          <w:color w:val="000000"/>
          <w:sz w:val="22"/>
        </w:rPr>
        <w:t>The following publications are considered to be representative of accepted good practice in matters of metering and meter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Gas Displacement Meters (500 Cubic Feet Per Hour Capacity and Under), ANSI B109.1-2000.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Diaphragm Type Gas Displacement Meters (Over 500 Cubic Feet Per Hour Capacity), ANSI B109.2-2000.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Rotary Type Gas Displacement Meters, ANSI B109.3-2000.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Measurement of Gas Flow by Turbine Meters, ANSI/ASME MFC-4M-1986 (Reaffirmed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Orifice Metering of Natural Gas and Other Related Hydrocarbon Fluids, API MPMS Chapter 14.3, Parts 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color w:val="000000"/>
          <w:sz w:val="22"/>
        </w:rPr>
        <w:t xml:space="preserve">Meter adjustment. </w:t>
      </w:r>
      <w:r>
        <w:rPr>
          <w:rFonts w:ascii="Times New Roman" w:hAnsi="Times New Roman"/>
          <w:b w:val="false"/>
          <w:i w:val="false"/>
          <w:color w:val="000000"/>
          <w:sz w:val="22"/>
        </w:rPr>
        <w:t>All meters and associated metering devices shall, when tested, be adjusted as closely as practicable to the condition of zero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Upon request by a customer, a utility shall test the meter servicing that customer. A test need not be made more frequently than once in 18 months.</w:t>
      </w:r>
    </w:p>
    <w:p>
      <w:pPr>
        <w:spacing w:before="0" w:after="0"/>
        <w:ind w:left="120"/>
        <w:jc w:val="both"/>
      </w:pPr>
      <w:r>
        <w:rPr>
          <w:rFonts w:ascii="Times New Roman" w:hAnsi="Times New Roman"/>
          <w:b w:val="false"/>
          <w:i w:val="false"/>
          <w:color w:val="000000"/>
          <w:sz w:val="22"/>
        </w:rPr>
        <w:t>A written report of the test results shall be mailed to the customer within ten days of the completed test and a record of each test shall be kept on file at the utility’s office. The utility shall give the customer or a representative of the customer the opportunity to be present while the test is conducted.</w:t>
      </w:r>
    </w:p>
    <w:p>
      <w:pPr>
        <w:spacing w:before="0" w:after="0"/>
        <w:ind w:left="120"/>
        <w:jc w:val="both"/>
      </w:pPr>
      <w:r>
        <w:rPr>
          <w:rFonts w:ascii="Times New Roman" w:hAnsi="Times New Roman"/>
          <w:b w:val="false"/>
          <w:i w:val="false"/>
          <w:color w:val="000000"/>
          <w:sz w:val="22"/>
        </w:rPr>
        <w:t>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color w:val="000000"/>
          <w:sz w:val="22"/>
        </w:rPr>
        <w:t xml:space="preserve">Referee tests. </w:t>
      </w:r>
      <w:r>
        <w:rPr>
          <w:rFonts w:ascii="Times New Roman" w:hAnsi="Times New Roman"/>
          <w:b w:val="false"/>
          <w:i w:val="false"/>
          <w:color w:val="000000"/>
          <w:sz w:val="22"/>
        </w:rPr>
        <w:t>Upon written request by a customer or utility, the commission will conduct a referee test of a meter. A test need not be made more frequently than once in 18 months. The customer request shall be accompanied by a $30 deposit in the form of a check or money order made payable to the utility.</w:t>
      </w:r>
    </w:p>
    <w:p>
      <w:pPr>
        <w:spacing w:before="0" w:after="0"/>
        <w:ind w:left="120"/>
        <w:jc w:val="both"/>
      </w:pPr>
      <w:r>
        <w:rPr>
          <w:rFonts w:ascii="Times New Roman" w:hAnsi="Times New Roman"/>
          <w:b w:val="false"/>
          <w:i w:val="false"/>
          <w:color w:val="000000"/>
          <w:sz w:val="22"/>
        </w:rPr>
        <w:t>Within 5 days of receipt of the written request and payment, the commission shall forward the deposit to the utility and notify the utility of the requirement for a test. The utility shall, within 30 days after notification of the request, schedule the date, time and place of the test with the commission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shall be made as required in 19.4(14). The commission shall issue its report within 15 days after the test is conducted, with a copy to the customer and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 xml:space="preserve">No meter that is known to be mechanically defective, has an incorrect correction factor, or has not been tested and adjusted, if necessary, in accordance with </w:t>
      </w:r>
      <w:hyperlink r:id="rId60">
        <w:r>
          <w:rPr>
            <w:rStyle w:val="Hyperlink"/>
            <w:rFonts w:ascii="Times New Roman" w:hAnsi="Times New Roman"/>
            <w:b w:val="false"/>
            <w:i w:val="false"/>
            <w:color w:val="000000"/>
            <w:sz w:val="22"/>
          </w:rPr>
          <w:t>19.6(2)</w:t>
        </w:r>
        <w:r>
          <w:rPr>
            <w:rFonts w:ascii="Times New Roman" w:hAnsi="Times New Roman"/>
            <w:b w:val="false"/>
            <w:i/>
            <w:color w:val="000000"/>
            <w:sz w:val="22"/>
          </w:rPr>
          <w:t>“b,” “c,”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shall be installed or continued in service. The capacity of the meter and the index mechanism shall be consistent with the gas requirements of the customer.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color w:val="000000"/>
          <w:sz w:val="22"/>
        </w:rPr>
        <w:t xml:space="preserve">Purity requirements. </w:t>
      </w:r>
      <w:r>
        <w:rPr>
          <w:rFonts w:ascii="Times New Roman" w:hAnsi="Times New Roman"/>
          <w:b w:val="false"/>
          <w:i w:val="false"/>
          <w:color w:val="000000"/>
          <w:sz w:val="22"/>
        </w:rPr>
        <w:t>All gas supplied to customers shall be substantially free of impurities which may cause corrosion of mains or piping or from corrosive or harmful fumes when burned in a properly designed and adjusted burner.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color w:val="000000"/>
          <w:sz w:val="22"/>
        </w:rPr>
        <w:t xml:space="preserve">Pressure limits. </w:t>
      </w:r>
      <w:r>
        <w:rPr>
          <w:rFonts w:ascii="Times New Roman" w:hAnsi="Times New Roman"/>
          <w:b w:val="false"/>
          <w:i w:val="false"/>
          <w:color w:val="000000"/>
          <w:sz w:val="22"/>
        </w:rPr>
        <w:t>The maximum allowable operating pressure for a low-pressure distribution system shall not be so high as to cause the unsafe operation of any connected and properly adjusted low-pressure gas-burning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19.7(3)</w:t>
      </w:r>
      <w:r>
        <w:rPr>
          <w:rFonts w:ascii="Times New Roman" w:hAnsi="Times New Roman"/>
          <w:b w:val="false"/>
          <w:i w:val="false"/>
          <w:color w:val="000000"/>
          <w:sz w:val="22"/>
        </w:rPr>
        <w:t> </w:t>
      </w:r>
      <w:r>
        <w:rPr>
          <w:rFonts w:ascii="Times New Roman" w:hAnsi="Times New Roman"/>
          <w:b w:val="false"/>
          <w:i/>
          <w:color w:val="000000"/>
          <w:sz w:val="22"/>
        </w:rPr>
        <w:t xml:space="preserve">Adequacy for pressure. </w:t>
      </w:r>
      <w:r>
        <w:rPr>
          <w:rFonts w:ascii="Times New Roman" w:hAnsi="Times New Roman"/>
          <w:b w:val="false"/>
          <w:i w:val="false"/>
          <w:color w:val="000000"/>
          <w:sz w:val="22"/>
        </w:rPr>
        <w:t>Each utility shall have a substantially accurate knowledge of the pressures inside its piping. Periodic pressure measurements shall be taken during periods of high demand at remote locations in distribution systems to determine the adequacy of service. Records of such measurements including the date, time, and location of the measurement shall be maintained not less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w:t>
      </w:r>
      <w:r>
        <w:rPr>
          <w:rFonts w:ascii="Times New Roman" w:hAnsi="Times New Roman"/>
          <w:b w:val="false"/>
          <w:i w:val="false"/>
          <w:color w:val="000000"/>
          <w:sz w:val="22"/>
        </w:rPr>
        <w:t> </w:t>
      </w:r>
      <w:r>
        <w:rPr>
          <w:rFonts w:ascii="Times New Roman" w:hAnsi="Times New Roman"/>
          <w:b w:val="false"/>
          <w:i/>
          <w:color w:val="000000"/>
          <w:sz w:val="22"/>
        </w:rPr>
        <w:t xml:space="preserve">Standards for pressure measurements.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Secondary standards. </w:t>
      </w:r>
      <w:r>
        <w:rPr>
          <w:rFonts w:ascii="Times New Roman" w:hAnsi="Times New Roman"/>
          <w:b w:val="false"/>
          <w:i w:val="false"/>
          <w:color w:val="000000"/>
          <w:sz w:val="22"/>
        </w:rPr>
        <w:t>Each utility shall own or have access to a dead weight tester. This instrument must be maintained in an accurate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Working standards. </w:t>
      </w:r>
      <w:r>
        <w:rPr>
          <w:rFonts w:ascii="Times New Roman" w:hAnsi="Times New Roman"/>
          <w:b w:val="false"/>
          <w:i w:val="false"/>
          <w:color w:val="000000"/>
          <w:sz w:val="22"/>
        </w:rPr>
        <w:t>Each utility must have or have access to water manometers, laboratory quality indicating pressure gauges, and field-type dead weight pressure gauges as necessary for the proper testing of the indicating and recording pressure gauges used in determining the pressure on the utility’s system. Working standards must be checked periodically by comparison with a secondary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19.7(5)</w:t>
      </w:r>
      <w:r>
        <w:rPr>
          <w:rFonts w:ascii="Times New Roman" w:hAnsi="Times New Roman"/>
          <w:b w:val="false"/>
          <w:i w:val="false"/>
          <w:color w:val="000000"/>
          <w:sz w:val="22"/>
        </w:rPr>
        <w:t> </w:t>
      </w:r>
      <w:r>
        <w:rPr>
          <w:rFonts w:ascii="Times New Roman" w:hAnsi="Times New Roman"/>
          <w:b w:val="false"/>
          <w:i/>
          <w:color w:val="000000"/>
          <w:sz w:val="22"/>
        </w:rPr>
        <w:t xml:space="preserve">Handling of standards. </w:t>
      </w:r>
      <w:r>
        <w:rPr>
          <w:rFonts w:ascii="Times New Roman" w:hAnsi="Times New Roman"/>
          <w:b w:val="false"/>
          <w:i w:val="false"/>
          <w:color w:val="000000"/>
          <w:sz w:val="22"/>
        </w:rPr>
        <w:t>Extreme care must be exercised in the handling of standards to ensure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19.7(6)</w:t>
      </w:r>
      <w:r>
        <w:rPr>
          <w:rFonts w:ascii="Times New Roman" w:hAnsi="Times New Roman"/>
          <w:b w:val="false"/>
          <w:i w:val="false"/>
          <w:color w:val="000000"/>
          <w:sz w:val="22"/>
        </w:rPr>
        <w:t> </w:t>
      </w:r>
      <w:r>
        <w:rPr>
          <w:rFonts w:ascii="Times New Roman" w:hAnsi="Times New Roman"/>
          <w:b w:val="false"/>
          <w:i/>
          <w:color w:val="000000"/>
          <w:sz w:val="22"/>
        </w:rPr>
        <w:t xml:space="preserve">Heating value.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Awareness. </w:t>
      </w:r>
      <w:r>
        <w:rPr>
          <w:rFonts w:ascii="Times New Roman" w:hAnsi="Times New Roman"/>
          <w:b w:val="false"/>
          <w:i w:val="false"/>
          <w:color w:val="000000"/>
          <w:sz w:val="22"/>
        </w:rPr>
        <w:t>Each utility shall have a substantially accurate knowledge of the heating value of the gas being delivered to customers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Natural and LP-gas. </w:t>
      </w:r>
      <w:r>
        <w:rPr>
          <w:rFonts w:ascii="Times New Roman" w:hAnsi="Times New Roman"/>
          <w:b w:val="false"/>
          <w:i w:val="false"/>
          <w:color w:val="000000"/>
          <w:sz w:val="22"/>
        </w:rPr>
        <w:t xml:space="preserve">The heating value of natural gas and undiluted, commercially pure LP-gas shall be considered as being not under the control of the utility. The utility shall determine the allowable range of monthly average heating values within which its customers’ appliances may be expected to function properly without repeated readjustment of the burners. If the monthly average heating value is above or below the limits of the allowable range for three successive months, the customers’ appliances must be readjusted in accordance with </w:t>
      </w:r>
      <w:hyperlink r:id="rId61">
        <w:r>
          <w:rPr>
            <w:rStyle w:val="Hyperlink"/>
            <w:rFonts w:ascii="Times New Roman" w:hAnsi="Times New Roman"/>
            <w:b w:val="false"/>
            <w:i w:val="false"/>
            <w:color w:val="000000"/>
            <w:sz w:val="22"/>
          </w:rPr>
          <w:t>19.4(18)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Peak shaving or other mixed gas. </w:t>
      </w:r>
      <w:r>
        <w:rPr>
          <w:rFonts w:ascii="Times New Roman" w:hAnsi="Times New Roman"/>
          <w:b w:val="false"/>
          <w:i w:val="false"/>
          <w:color w:val="000000"/>
          <w:sz w:val="22"/>
        </w:rPr>
        <w:t>The heating value of gas in a distribution system which includes gas from LP or LNG peak shaving facilities, or gas from a source other than a pipeline supplier, shall be considered within the control of the utility. The average daily heating value of mixed gas shall be at least 95 percent of that normally delivered by the pipeline supplier. All mixed gas shall have a specific gravity of less than 1.000, and heating value shall not be so high as to cause improper operation of properly adjusted customer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Heating value determination and records. </w:t>
      </w:r>
      <w:r>
        <w:rPr>
          <w:rFonts w:ascii="Times New Roman" w:hAnsi="Times New Roman"/>
          <w:b w:val="false"/>
          <w:i w:val="false"/>
          <w:color w:val="000000"/>
          <w:sz w:val="22"/>
        </w:rPr>
        <w:t>Unless acceptable heating value information is available for all periods from other sources, including the pipeline supplier, the utility shall provide and maintain equipment, or shall have a method of computation, by which the heating value of the gas in a distribution system can be accurately determined. The type, accuracy, operation and location of equipment, and the accuracy of computation methods, shall be in accordance with accepted industry practices and equipment manufacturer’s recommendations and shall be subject to review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19.7(7)</w:t>
      </w:r>
      <w:r>
        <w:rPr>
          <w:rFonts w:ascii="Times New Roman" w:hAnsi="Times New Roman"/>
          <w:b w:val="false"/>
          <w:i w:val="false"/>
          <w:color w:val="000000"/>
          <w:sz w:val="22"/>
        </w:rPr>
        <w:t> </w:t>
      </w:r>
      <w:r>
        <w:rPr>
          <w:rFonts w:ascii="Times New Roman" w:hAnsi="Times New Roman"/>
          <w:b w:val="false"/>
          <w:i/>
          <w:color w:val="000000"/>
          <w:sz w:val="22"/>
        </w:rPr>
        <w:t xml:space="preserve">Interruptions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make reasonable efforts to avoid interruptions of service, but when interruptions occur, service shall be reestablished within the shortest time practicable, consistent with safety. Each utility shall maintain records for not less than two years of interruptions of service as required to be reported in </w:t>
      </w:r>
      <w:hyperlink r:id="rId62">
        <w:r>
          <w:rPr>
            <w:rStyle w:val="Hyperlink"/>
            <w:rFonts w:ascii="Times New Roman" w:hAnsi="Times New Roman"/>
            <w:b w:val="false"/>
            <w:i w:val="false"/>
            <w:color w:val="000000"/>
            <w:sz w:val="22"/>
          </w:rPr>
          <w:t>19.17(1)</w:t>
        </w:r>
      </w:hyperlink>
      <w:r>
        <w:rPr>
          <w:rFonts w:ascii="Times New Roman" w:hAnsi="Times New Roman"/>
          <w:b w:val="false"/>
          <w:i w:val="false"/>
          <w:color w:val="000000"/>
          <w:sz w:val="22"/>
        </w:rPr>
        <w:t xml:space="preserve"> and shall periodically review these records to determine steps to be taken to prevent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Planned interruptions shall be made at a time that will not cause unreasonable inconvenience to customers. Interruptions shall be preceded by adequate notice to those who will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199—19.8</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 xml:space="preserve">As criteria of accepted good safety practice the commission will use the applicable provisions of the standard listed in </w:t>
      </w:r>
      <w:hyperlink r:id="rId63">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Each utility shall exercise reasonable care to reduce hazards inherent in connection with utility service to which its employees, its customers, and the general public may be subjected and shall adopt and execute a safety program designed to protect the public, fitted to the size and type of its operations. The utility shall give reasonable assistance to the commission in the investigation of the cause of accidents and in the determination of suitable means of preventing accidents. Each utility shall maintain a summary of all reportable accidents arising from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Turning on gas. </w:t>
      </w:r>
      <w:r>
        <w:rPr>
          <w:rFonts w:ascii="Times New Roman" w:hAnsi="Times New Roman"/>
          <w:b w:val="false"/>
          <w:i w:val="false"/>
          <w:color w:val="000000"/>
          <w:sz w:val="22"/>
        </w:rPr>
        <w:t>Each utility upon the installation of a meter and turning on gas or the act of turning on gas alone shall take the necessary steps to assure itself that there exists no flow of gas through the meter which is a warning that the customer’s piping or appliances are not safe for gas turn on (Ref: Sec.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8.2.3 and Annex D, ANSI Z223.1/NFPA 54-2018).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Gas leaks. </w:t>
      </w:r>
      <w:r>
        <w:rPr>
          <w:rFonts w:ascii="Times New Roman" w:hAnsi="Times New Roman"/>
          <w:b w:val="false"/>
          <w:i w:val="false"/>
          <w:color w:val="000000"/>
          <w:sz w:val="22"/>
        </w:rPr>
        <w:t>A report of a gas leak shall be considered as an emergency requiring immediate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19.8(5)</w:t>
      </w:r>
      <w:r>
        <w:rPr>
          <w:rFonts w:ascii="Times New Roman" w:hAnsi="Times New Roman"/>
          <w:b w:val="false"/>
          <w:i w:val="false"/>
          <w:color w:val="000000"/>
          <w:sz w:val="22"/>
        </w:rPr>
        <w:t> </w:t>
      </w:r>
      <w:r>
        <w:rPr>
          <w:rFonts w:ascii="Times New Roman" w:hAnsi="Times New Roman"/>
          <w:b w:val="false"/>
          <w:i/>
          <w:color w:val="000000"/>
          <w:sz w:val="22"/>
        </w:rPr>
        <w:t xml:space="preserve">Odorization. </w:t>
      </w:r>
      <w:r>
        <w:rPr>
          <w:rFonts w:ascii="Times New Roman" w:hAnsi="Times New Roman"/>
          <w:b w:val="false"/>
          <w:i w:val="false"/>
          <w:color w:val="000000"/>
          <w:sz w:val="22"/>
        </w:rPr>
        <w:t xml:space="preserve">Any gas distributed to customers through gas mains or gas services or used for domestic purposes in compressor plants, which does not naturally possess a distinctive odor to the extent that its presence in the atmosphere is readily detectable at all gas concentrations of one-fifth of the lower explosive limit and above, shall have an odorant added to it to make it so detectable. Odorization is not necessary, however, for such gas as is delivered for further processing or use where the odorant would serve no useful purpose as a warning agent. Suitable tests must be made to determine whether the odor meets the standards of subrule </w:t>
      </w:r>
      <w:hyperlink r:id="rId64">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Prompt remedial action shall be taken if odorization levels do not meet the prescribed limits for detectability.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19.8(6)</w:t>
      </w:r>
      <w:r>
        <w:rPr>
          <w:rFonts w:ascii="Times New Roman" w:hAnsi="Times New Roman"/>
          <w:b w:val="false"/>
          <w:i w:val="false"/>
          <w:color w:val="000000"/>
          <w:sz w:val="22"/>
        </w:rPr>
        <w:t> </w:t>
      </w:r>
      <w:r>
        <w:rPr>
          <w:rFonts w:ascii="Times New Roman" w:hAnsi="Times New Roman"/>
          <w:b w:val="false"/>
          <w:i/>
          <w:color w:val="000000"/>
          <w:sz w:val="22"/>
        </w:rPr>
        <w:t xml:space="preserve">Burial near electric lines. </w:t>
      </w:r>
      <w:r>
        <w:rPr>
          <w:rFonts w:ascii="Times New Roman" w:hAnsi="Times New Roman"/>
          <w:b w:val="false"/>
          <w:i w:val="false"/>
          <w:color w:val="000000"/>
          <w:sz w:val="22"/>
        </w:rPr>
        <w:t>Each pipeline shall be installed with at least 12 inches of clearance from buried electrical conductors. If this clearance cannot be maintained, protection from damage or introduction of current from an electrical fault shall be provided by other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4380C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199—19.9</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conservation strategies.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12/7/03.</w:t>
      </w:r>
    </w:p>
    <w:p>
      <w:pPr>
        <w:spacing w:before="0" w:after="0"/>
        <w:ind w:left="120"/>
        <w:jc w:val="both"/>
      </w:pPr>
      <w:r>
        <w:rPr>
          <w:rFonts w:ascii="Times New Roman" w:hAnsi="Times New Roman"/>
          <w:b/>
          <w:i w:val="false"/>
          <w:color w:val="000000"/>
          <w:sz w:val="22"/>
        </w:rPr>
        <w:t>199—19.10</w:t>
      </w:r>
      <w:r>
        <w:rPr>
          <w:rFonts w:ascii="Times New Roman" w:hAnsi="Times New Roman"/>
          <w:b/>
          <w:i w:val="false"/>
          <w:color w:val="000000"/>
          <w:sz w:val="22"/>
        </w:rPr>
        <w:t xml:space="preserve">(476) </w:t>
      </w:r>
      <w:r>
        <w:rPr>
          <w:rFonts w:ascii="Times New Roman" w:hAnsi="Times New Roman"/>
          <w:b/>
          <w:i w:val="false"/>
          <w:color w:val="000000"/>
          <w:sz w:val="22"/>
        </w:rPr>
        <w:t xml:space="preserve">Purchased gas adjustment (PGA).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color w:val="000000"/>
          <w:sz w:val="22"/>
        </w:rPr>
        <w:t xml:space="preserve">Purchased gas adjustment clause. </w:t>
      </w:r>
      <w:r>
        <w:rPr>
          <w:rFonts w:ascii="Times New Roman" w:hAnsi="Times New Roman"/>
          <w:b w:val="false"/>
          <w:i w:val="false"/>
          <w:color w:val="000000"/>
          <w:sz w:val="22"/>
        </w:rPr>
        <w:t xml:space="preserve">Pursuant to Iowa Code section </w:t>
      </w:r>
      <w:hyperlink r:id="rId65">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 purchased gas adjustments shall be computed separately for each customer classification or grouping previously approved by the commission. Purchased gas adjustments shall use the same unit of measure as the utility’s tariffed rates. Purchased gas adjustments shall be calculated using factors filed in annual or periodic filings according to the following formula:</w:t>
      </w:r>
    </w:p>
    <w:p>
      <w:pPr>
        <w:spacing w:before="0" w:after="0"/>
        <w:ind w:left="120"/>
        <w:jc w:val="both"/>
      </w:pPr>
      <w:r>
        <w:rPr>
          <w:rFonts w:ascii="Times New Roman" w:hAnsi="Times New Roman"/>
          <w:b w:val="false"/>
          <w:i w:val="false"/>
          <w:color w:val="000000"/>
          <w:sz w:val="22"/>
        </w:rPr>
        <w:t xml:space="preserve">PGA = </w:t>
      </w:r>
      <w:r>
        <w:rPr>
          <w:rFonts w:ascii="Times New Roman" w:hAnsi="Times New Roman"/>
          <w:b w:val="false"/>
          <w:i w:val="false"/>
          <w:color w:val="000000"/>
          <w:sz w:val="22"/>
          <w:u w:val="single"/>
        </w:rPr>
        <w:t>(C × Rc) + (D × Rd) + (Z × Rz)</w:t>
      </w:r>
      <w:r>
        <w:rPr>
          <w:rFonts w:ascii="Times New Roman" w:hAnsi="Times New Roman"/>
          <w:b w:val="false"/>
          <w:i w:val="false"/>
          <w:color w:val="000000"/>
          <w:sz w:val="22"/>
        </w:rPr>
        <w:t xml:space="preserve"> + Rb + E</w:t>
      </w:r>
    </w:p>
    <w:p>
      <w:pPr>
        <w:spacing w:before="0" w:after="0"/>
        <w:ind w:left="120"/>
        <w:jc w:val="both"/>
      </w:pPr>
      <w:r>
        <w:rPr>
          <w:rFonts w:ascii="Times New Roman" w:hAnsi="Times New Roman"/>
          <w:b w:val="false"/>
          <w:i w:val="false"/>
          <w:color w:val="000000"/>
          <w:sz w:val="22"/>
        </w:rPr>
        <w:t>S</w:t>
      </w:r>
    </w:p>
    <w:p>
      <w:pPr>
        <w:spacing w:before="0" w:after="0"/>
        <w:ind w:left="120"/>
        <w:jc w:val="both"/>
      </w:pPr>
      <w:r>
        <w:rPr>
          <w:rFonts w:ascii="Times New Roman" w:hAnsi="Times New Roman"/>
          <w:b w:val="false"/>
          <w:i w:val="false"/>
          <w:color w:val="000000"/>
          <w:sz w:val="22"/>
        </w:rPr>
        <w:t>PGA is the purchased gas adjustment per unit.</w:t>
      </w:r>
    </w:p>
    <w:p>
      <w:pPr>
        <w:spacing w:before="0" w:after="0"/>
        <w:ind w:left="120"/>
        <w:jc w:val="both"/>
      </w:pPr>
      <w:r>
        <w:rPr>
          <w:rFonts w:ascii="Times New Roman" w:hAnsi="Times New Roman"/>
          <w:b w:val="false"/>
          <w:i w:val="false"/>
          <w:color w:val="000000"/>
          <w:sz w:val="22"/>
        </w:rPr>
        <w:t>S is the anticipated yearly gas commodity sales volume for each customer classification or grouping.</w:t>
      </w:r>
    </w:p>
    <w:p>
      <w:pPr>
        <w:spacing w:before="0" w:after="0"/>
        <w:ind w:left="120"/>
        <w:jc w:val="both"/>
      </w:pPr>
      <w:r>
        <w:rPr>
          <w:rFonts w:ascii="Times New Roman" w:hAnsi="Times New Roman"/>
          <w:b w:val="false"/>
          <w:i w:val="false"/>
          <w:color w:val="000000"/>
          <w:sz w:val="22"/>
        </w:rPr>
        <w:t>C is the volume of applicable commodity purchased for each customer classification or grouping required to meet sales, S, plus the expected lost and unaccounted for volumes.</w:t>
      </w:r>
    </w:p>
    <w:p>
      <w:pPr>
        <w:spacing w:before="0" w:after="0"/>
        <w:ind w:left="120"/>
        <w:jc w:val="both"/>
      </w:pPr>
      <w:r>
        <w:rPr>
          <w:rFonts w:ascii="Times New Roman" w:hAnsi="Times New Roman"/>
          <w:b w:val="false"/>
          <w:i w:val="false"/>
          <w:color w:val="000000"/>
          <w:sz w:val="22"/>
        </w:rPr>
        <w:t>Rc is the weighted average of applicable commodity prices or rates, including appropriate hedging tools costs, to be in effect September 1 corresponding to purchases C.</w:t>
      </w:r>
    </w:p>
    <w:p>
      <w:pPr>
        <w:spacing w:before="0" w:after="0"/>
        <w:ind w:left="120"/>
        <w:jc w:val="both"/>
      </w:pPr>
      <w:r>
        <w:rPr>
          <w:rFonts w:ascii="Times New Roman" w:hAnsi="Times New Roman"/>
          <w:b w:val="false"/>
          <w:i w:val="false"/>
          <w:color w:val="000000"/>
          <w:sz w:val="22"/>
        </w:rPr>
        <w:t>D is the total volume of applicable entitlement reservation purchases required to meet sales, S, for each customer classification or grouping.</w:t>
      </w:r>
    </w:p>
    <w:p>
      <w:pPr>
        <w:spacing w:before="0" w:after="0"/>
        <w:ind w:left="120"/>
        <w:jc w:val="both"/>
      </w:pPr>
      <w:r>
        <w:rPr>
          <w:rFonts w:ascii="Times New Roman" w:hAnsi="Times New Roman"/>
          <w:b w:val="false"/>
          <w:i w:val="false"/>
          <w:color w:val="000000"/>
          <w:sz w:val="22"/>
        </w:rPr>
        <w:t>Rd is the weighted average of applicable entitlement reservation charges to be in effect September 1 corresponding to purchases D.</w:t>
      </w:r>
    </w:p>
    <w:p>
      <w:pPr>
        <w:spacing w:before="0" w:after="0"/>
        <w:ind w:left="120"/>
        <w:jc w:val="both"/>
      </w:pPr>
      <w:r>
        <w:rPr>
          <w:rFonts w:ascii="Times New Roman" w:hAnsi="Times New Roman"/>
          <w:b w:val="false"/>
          <w:i w:val="false"/>
          <w:color w:val="000000"/>
          <w:sz w:val="22"/>
        </w:rPr>
        <w:t>Z is the total quantity of applicable storage service purchases required to meet sales, S, for each customer classification or grouping.</w:t>
      </w:r>
    </w:p>
    <w:p>
      <w:pPr>
        <w:spacing w:before="0" w:after="0"/>
        <w:ind w:left="120"/>
        <w:jc w:val="both"/>
      </w:pPr>
      <w:r>
        <w:rPr>
          <w:rFonts w:ascii="Times New Roman" w:hAnsi="Times New Roman"/>
          <w:b w:val="false"/>
          <w:i w:val="false"/>
          <w:color w:val="000000"/>
          <w:sz w:val="22"/>
        </w:rPr>
        <w:t>Rz is the weighted average of applicable storage service rates to be in effect September 1 corresponding to purchases Z.</w:t>
      </w:r>
    </w:p>
    <w:p>
      <w:pPr>
        <w:spacing w:before="0" w:after="0"/>
        <w:ind w:left="120"/>
        <w:jc w:val="both"/>
      </w:pPr>
      <w:r>
        <w:rPr>
          <w:rFonts w:ascii="Times New Roman" w:hAnsi="Times New Roman"/>
          <w:b w:val="false"/>
          <w:i w:val="false"/>
          <w:color w:val="000000"/>
          <w:sz w:val="22"/>
        </w:rPr>
        <w:t>Rb is the adjusted amount necessary to obtain the anticipated balance for the remaining PGA year calculated by taking the anticipated PGA balance divided by the forecasted volumes, including storage, for one or more months of the remaining PGA year.</w:t>
      </w:r>
    </w:p>
    <w:p>
      <w:pPr>
        <w:spacing w:before="0" w:after="0"/>
        <w:ind w:left="120"/>
        <w:jc w:val="both"/>
      </w:pPr>
      <w:r>
        <w:rPr>
          <w:rFonts w:ascii="Times New Roman" w:hAnsi="Times New Roman"/>
          <w:b w:val="false"/>
          <w:i w:val="false"/>
          <w:color w:val="000000"/>
          <w:sz w:val="22"/>
        </w:rPr>
        <w:t xml:space="preserve">E is the per unit overcollection or undercollection adjustment as calculated under subrule </w:t>
      </w:r>
      <w:hyperlink r:id="rId66">
        <w:r>
          <w:rPr>
            <w:rStyle w:val="Hyperlink"/>
            <w:rFonts w:ascii="Times New Roman" w:hAnsi="Times New Roman"/>
            <w:b w:val="false"/>
            <w:i w:val="false"/>
            <w:color w:val="000000"/>
            <w:sz w:val="22"/>
          </w:rPr>
          <w:t>19.10(7)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components of the formula shall be determined as follows for each customer classification or grouping: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actual sales volumes S for the prior 12-month period ending May 31, with the necessary degree-day adjustments, and further adjustments approved by the commission.</w:t>
      </w:r>
    </w:p>
    <w:p>
      <w:pPr>
        <w:spacing w:before="0" w:after="0"/>
        <w:ind w:left="120"/>
        <w:jc w:val="both"/>
      </w:pPr>
      <w:r>
        <w:rPr>
          <w:rFonts w:ascii="Times New Roman" w:hAnsi="Times New Roman"/>
          <w:b w:val="false"/>
          <w:i w:val="false"/>
          <w:color w:val="000000"/>
          <w:sz w:val="22"/>
        </w:rPr>
        <w:t>Unless a utility receives prior commission approval to use another methodology, a utility shall use the same weather normalization methodology used in prior approved PGA and rate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expected lost and unaccounted for factors shall be calculated by determining the actual difference between sales and purchase volumes for the 12 months ending May 31 or from the current annual IG-1 filing, but in no case will this factor be less than 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purchases C, D, and Z which will be necessary to meet requirements as determined in </w:t>
      </w:r>
      <w:hyperlink r:id="rId67">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purchased gas adjustments shall be adjusted prospectively to reflect the final decision issued by the commission in a periodic review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color w:val="000000"/>
          <w:sz w:val="22"/>
        </w:rPr>
        <w:t xml:space="preserve">Annual purchased gas adjustment filing. </w:t>
      </w:r>
      <w:r>
        <w:rPr>
          <w:rFonts w:ascii="Times New Roman" w:hAnsi="Times New Roman"/>
          <w:b w:val="false"/>
          <w:i w:val="false"/>
          <w:color w:val="000000"/>
          <w:sz w:val="22"/>
        </w:rPr>
        <w:t>Each rate-regulated utility shall file on or before August 1 of each year, for the commission’s approval, a purchased gas adjustment for the 12-month period beginning September 1 of that year.</w:t>
      </w:r>
    </w:p>
    <w:p>
      <w:pPr>
        <w:spacing w:before="0" w:after="0"/>
        <w:ind w:left="120"/>
        <w:jc w:val="both"/>
      </w:pPr>
      <w:r>
        <w:rPr>
          <w:rFonts w:ascii="Times New Roman" w:hAnsi="Times New Roman"/>
          <w:b w:val="false"/>
          <w:i w:val="false"/>
          <w:color w:val="000000"/>
          <w:sz w:val="22"/>
        </w:rPr>
        <w:t xml:space="preserve">The annual filing shall restate each factor of the formula stated in subrule </w:t>
      </w:r>
      <w:hyperlink r:id="rId68">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annual filing shall be based on customer classifications and groupings previously approved by the commission unless new classifications or groupings are proposed.</w:t>
      </w:r>
    </w:p>
    <w:p>
      <w:pPr>
        <w:spacing w:before="0" w:after="0"/>
        <w:ind w:left="120"/>
        <w:jc w:val="both"/>
      </w:pPr>
      <w:r>
        <w:rPr>
          <w:rFonts w:ascii="Times New Roman" w:hAnsi="Times New Roman"/>
          <w:b w:val="false"/>
          <w:i w:val="false"/>
          <w:color w:val="000000"/>
          <w:sz w:val="22"/>
        </w:rPr>
        <w:t>The annual filing shall include all worksheets and detailed supporting data used to determine the purchased gas adjustment volumes and factors. The utility shall provide an explanation of the calculations of each factor. Information already on file with the commission may be incorporated by reference in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color w:val="000000"/>
          <w:sz w:val="22"/>
        </w:rPr>
        <w:t xml:space="preserve">Periodic changes to purchased gas adjustment clause. </w:t>
      </w:r>
      <w:r>
        <w:rPr>
          <w:rFonts w:ascii="Times New Roman" w:hAnsi="Times New Roman"/>
          <w:b w:val="false"/>
          <w:i w:val="false"/>
          <w:color w:val="000000"/>
          <w:sz w:val="22"/>
        </w:rPr>
        <w:t>Periodic purchased gas adjustment filings shall be based on the purchased gas adjustment customer classifications and groupings previously approved by the commission. Changes in the customer classification and grouping on file are not automatic and require prior approval by the commission.</w:t>
      </w:r>
    </w:p>
    <w:p>
      <w:pPr>
        <w:spacing w:before="0" w:after="0"/>
        <w:ind w:left="120"/>
        <w:jc w:val="both"/>
      </w:pPr>
      <w:r>
        <w:rPr>
          <w:rFonts w:ascii="Times New Roman" w:hAnsi="Times New Roman"/>
          <w:b w:val="false"/>
          <w:i w:val="false"/>
          <w:color w:val="000000"/>
          <w:sz w:val="22"/>
        </w:rPr>
        <w:t>Periodic filings shall include all worksheets and detailed supporting data used to determine the amount of the adjustment.</w:t>
      </w:r>
    </w:p>
    <w:p>
      <w:pPr>
        <w:spacing w:before="0" w:after="0"/>
        <w:ind w:left="120"/>
        <w:jc w:val="both"/>
      </w:pPr>
      <w:r>
        <w:rPr>
          <w:rFonts w:ascii="Times New Roman" w:hAnsi="Times New Roman"/>
          <w:b w:val="false"/>
          <w:i w:val="false"/>
          <w:color w:val="000000"/>
          <w:sz w:val="22"/>
        </w:rPr>
        <w:t xml:space="preserve">Changes in factors S or C may not be made in periodic purchased gas filings. A change in factor D or Z may be made in periodic filings and will be deemed approved if it conforms to the annual purchased gas filing or if it conforms to the principles set out in </w:t>
      </w:r>
      <w:hyperlink r:id="rId69">
        <w:r>
          <w:rPr>
            <w:rStyle w:val="Hyperlink"/>
            <w:rFonts w:ascii="Times New Roman" w:hAnsi="Times New Roman"/>
            <w:b w:val="false"/>
            <w:i w:val="false"/>
            <w:color w:val="000000"/>
            <w:sz w:val="22"/>
          </w:rPr>
          <w:t>19.10(6)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utility shall implement automatically all purchased gas adjustment changes which result from changes in Rc, Rd, or Rz with concurrent commission notification with adequate information to calculate and support the change. The purchased gas adjustment shall be calculated separately for each customer classification or grouping.</w:t>
      </w:r>
    </w:p>
    <w:p>
      <w:pPr>
        <w:spacing w:before="0" w:after="0"/>
        <w:ind w:left="120"/>
        <w:jc w:val="both"/>
      </w:pPr>
      <w:r>
        <w:rPr>
          <w:rFonts w:ascii="Times New Roman" w:hAnsi="Times New Roman"/>
          <w:b w:val="false"/>
          <w:i w:val="false"/>
          <w:color w:val="000000"/>
          <w:sz w:val="22"/>
        </w:rPr>
        <w:t>Unless otherwise ordered by the commission, a rate-regulated utility’s purchased gas adjustment rate factors shall be adjusted as purchased gas costs change and shall recover from the customers only the actual costs of purchased gas and other currently incurred charges associated with the delivery, inventory, or reservation of natural gas. Such periodic changes shall become effective with usage on or after the date of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19.10(4)</w:t>
      </w:r>
      <w:r>
        <w:rPr>
          <w:rFonts w:ascii="Times New Roman" w:hAnsi="Times New Roman"/>
          <w:b w:val="false"/>
          <w:i w:val="false"/>
          <w:color w:val="000000"/>
          <w:sz w:val="22"/>
        </w:rPr>
        <w:t> </w:t>
      </w:r>
      <w:r>
        <w:rPr>
          <w:rFonts w:ascii="Times New Roman" w:hAnsi="Times New Roman"/>
          <w:b w:val="false"/>
          <w:i/>
          <w:color w:val="000000"/>
          <w:sz w:val="22"/>
        </w:rPr>
        <w:t xml:space="preserve">Factor Rb. </w:t>
      </w:r>
      <w:r>
        <w:rPr>
          <w:rFonts w:ascii="Times New Roman" w:hAnsi="Times New Roman"/>
          <w:b w:val="false"/>
          <w:i w:val="false"/>
          <w:color w:val="000000"/>
          <w:sz w:val="22"/>
        </w:rPr>
        <w:t>Each utility has the option of filing an Rb calculation with its October-January PGA filings but shall file an Rb calculation with its February filing and subsequent monthly filings in the PGA year. If the anticipated PGA balance represents costs in excess of revenues, factor Rb shall be assigned a positive value; if the anticipated balance represents revenues in excess of costs, factor Rb shall be assigned a negative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19.10(5)</w:t>
      </w:r>
      <w:r>
        <w:rPr>
          <w:rFonts w:ascii="Times New Roman" w:hAnsi="Times New Roman"/>
          <w:b w:val="false"/>
          <w:i w:val="false"/>
          <w:color w:val="000000"/>
          <w:sz w:val="22"/>
        </w:rPr>
        <w:t> </w:t>
      </w:r>
      <w:r>
        <w:rPr>
          <w:rFonts w:ascii="Times New Roman" w:hAnsi="Times New Roman"/>
          <w:b w:val="false"/>
          <w:i/>
          <w:color w:val="000000"/>
          <w:sz w:val="22"/>
        </w:rPr>
        <w:t xml:space="preserve">Take-or-pay adjustment.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11/12/03</w:t>
      </w:r>
      <w:r>
        <w:rPr>
          <w:rFonts w:ascii="Times New Roman" w:hAnsi="Times New Roman"/>
          <w:b w:val="false"/>
          <w:i w:val="false"/>
          <w:color w:val="000000"/>
          <w:sz w:val="22"/>
        </w:rPr>
        <w:t>, effective 12/17/03.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19.10(6)</w:t>
      </w:r>
      <w:r>
        <w:rPr>
          <w:rFonts w:ascii="Times New Roman" w:hAnsi="Times New Roman"/>
          <w:b w:val="false"/>
          <w:i w:val="false"/>
          <w:color w:val="000000"/>
          <w:sz w:val="22"/>
        </w:rPr>
        <w:t> </w:t>
      </w:r>
      <w:r>
        <w:rPr>
          <w:rFonts w:ascii="Times New Roman" w:hAnsi="Times New Roman"/>
          <w:b w:val="false"/>
          <w:i/>
          <w:color w:val="000000"/>
          <w:sz w:val="22"/>
        </w:rPr>
        <w:t xml:space="preserve">Allocations of changes in contract pipeline transportation capacity obligations. </w:t>
      </w:r>
      <w:r>
        <w:rPr>
          <w:rFonts w:ascii="Times New Roman" w:hAnsi="Times New Roman"/>
          <w:b w:val="false"/>
          <w:i w:val="false"/>
          <w:color w:val="000000"/>
          <w:sz w:val="22"/>
        </w:rPr>
        <w:t>Any change in contractual pipeline transportation capacity obligations to transportation or storage service providers serving Iowa must be reported to the commission within 30 days of receipt. The change must be applied on a pro-rata basis to all customer classifications or groupings, unless another method has been approved by the commission. Where a change has been granted as a result of the utility’s request based on the needs of specified customers, that change may be allocated to the specified customers. Where the commission has approved anticipated sales levels for one or more customer classifications or groupings, those levels may limit the pro-rata reduction for those classifications or groupings.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19.10(7)</w:t>
      </w:r>
      <w:r>
        <w:rPr>
          <w:rFonts w:ascii="Times New Roman" w:hAnsi="Times New Roman"/>
          <w:b w:val="false"/>
          <w:i w:val="false"/>
          <w:color w:val="000000"/>
          <w:sz w:val="22"/>
        </w:rPr>
        <w:t> </w:t>
      </w:r>
      <w:r>
        <w:rPr>
          <w:rFonts w:ascii="Times New Roman" w:hAnsi="Times New Roman"/>
          <w:b w:val="false"/>
          <w:i/>
          <w:color w:val="000000"/>
          <w:sz w:val="22"/>
        </w:rPr>
        <w:t xml:space="preserve">Reconciliation of underbillings and overbillings. </w:t>
      </w:r>
      <w:r>
        <w:rPr>
          <w:rFonts w:ascii="Times New Roman" w:hAnsi="Times New Roman"/>
          <w:b w:val="false"/>
          <w:i w:val="false"/>
          <w:color w:val="000000"/>
          <w:sz w:val="22"/>
        </w:rPr>
        <w:t>The utility shall file with the commission on or before October 1 of each year a purchased gas adjustment reconciliation for the 12-month period which began on September 1 of the previous year. This reconciliation shall be the actual net invoiced costs of purchased gas and appropriate financial hedging tools costs less the actual revenue billed through its purchased gas adjustment clause net of the prior year’s reconciliation dollars for each customer classification or grouping. Actual net costs for purchased gas shall be the applicable invoice costs from all appropriate sources associated with the time period of usage.</w:t>
      </w:r>
    </w:p>
    <w:p>
      <w:pPr>
        <w:spacing w:before="0" w:after="0"/>
        <w:ind w:left="120"/>
        <w:jc w:val="both"/>
      </w:pPr>
      <w:r>
        <w:rPr>
          <w:rFonts w:ascii="Times New Roman" w:hAnsi="Times New Roman"/>
          <w:b w:val="false"/>
          <w:i w:val="false"/>
          <w:color w:val="000000"/>
          <w:sz w:val="22"/>
        </w:rPr>
        <w:t>Negative differences in the reconciliation shall be considered overbilling by the utility, and positive differences shall be considered underbilling. This reconciliation shall be filed with all worksheets and detailed supporting data for each particular purchased gas adjustment clause. Penalty purchases shall only be includable where the utility clearly demonstrates a net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annual reconciliation filing shall include the following information concerning the hedging tools used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volume of physical gas being hedged by the utility and the strategies used by the utility for hedging.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 each hedging strategy was undertaken (e.g., to hedge storage gas, a floating price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as to how each hedging strategy was consistent with the local distribution company’s natural gas procurement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as to why the local distribution company believes each hedging strategy was in the best interest of general system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detailed explanation of the instruments used to implement each hedging strategy (e.g., fixed-price purchases, future contracts, basis swaps, fixed-price swaps, call options, put options, option collars).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of all commissions paid and to whom those payments were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amount of money or other collateral held in margin accounts or provided to counterparties as credit support for hedging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amount of all other third-party administrative or contracting costs paid and to whom those costs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of each hedging counterparty and the amount of money paid to or received from each counterparty with respect to hedging (e.g., option premiums, financial settlement of gains or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 Detailed reports or schedules of each hedging strategy, including the following information for each hedging instrument entered into by the utility: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hedging instrument.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on which the hedging instrument was entered into by the utility.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name of the counterparty with whom the hedging instrument was entered into.</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notional quantity of natural gas associated with the hedging instrument.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notional delivery period associated with the hedging instrument.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total amount of gains or losses realized by the utility on the hedging instrument.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 each futures contract or fixed-price purchase or sale, the fixed price paid or received by the utility and the final settlement price for the futures contract.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For each swap contract, the fixed price or index price paid by the utility, the index price or fixed price received by the utility, and the final settlement price of each applicable index referenced in the swap contract.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For each option contract, the underlying futures contract or index price referenced in the option contract, the strike price for the option, the premium paid or received by the utility for the option, and the final settlement price for the futures contract or index price referenced in the option.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 any other hedging instruments, relevant economic terms, conditions, reference prices, and other factors to support calculations of gains or losses associated with such instruments.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For the total natural gas volumes hedged during the PGA year, the fully hedged price of gas and the price if the gas had not been hedged.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underbilling determined from the reconciliation shall be collected through ten-month adjustments to the appropriate purchased gas adjustment. The underbilling generated from each purchased gas adjustment clause shall be divided by the anticipated sales volumes for the prospective ten-month period beginning November 1 (based upon the sales determination in subrule </w:t>
      </w:r>
      <w:hyperlink r:id="rId70">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quotient, determined on the same basis as the utility’s tariff rates, shall be added to the purchased gas adjustment for the prospective ten-month period beginning November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overbilling determined from the reconciliation shall be refunded to the customer classification or grouping from which it was generated. The overbilling shall be divided by the annual cost of purchased gas subject to recovery for the 12-month period which began the prior September 1 for each purchased gas adjustment clause and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net overbilling from the purchased gas adjustment reconciliation exceeds the applicable percentage of the annual cost of purchased gas subject to recovery for a specific customer classification or grouping, the utility shall refund the overbilling by bill credit or check starting on the first day of billing in the November billing cycle of the current year. The minimum amount to be refunded by check shall be $10. Interest shall be calculated on amounts exceeding the applicable percentage from the PGA year midpoint to the date of refunding. The interest rate shall be the dealer commercial paper rate (90-day, high-grade unsecured notes) quoted in the “Money Rates” section of the Wall Street Journal on the last working day of August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net overbilling from the purchased gas adjustment reconciliation does not exceed the applicable percentage of the annual cost of purchased gas subject to recovery for a specific customer classification or grouping, the utility may refund the overbilling by bill credit or check starting on the first day of billing in the November billing cycle of the current year, or the utility may refund the overbilling through ten-month adjustments to the particular purchased gas adjustment from which they were generated. The minimum amount to be refunded by check shall be $10. This adjustment shall be determined by dividing the overcollection by the anticipated sales volume for the prospective ten-month period beginning November 1 as determined in subrule </w:t>
      </w:r>
      <w:hyperlink r:id="rId71">
        <w:r>
          <w:rPr>
            <w:rStyle w:val="Hyperlink"/>
            <w:rFonts w:ascii="Times New Roman" w:hAnsi="Times New Roman"/>
            <w:b w:val="false"/>
            <w:i w:val="false"/>
            <w:color w:val="000000"/>
            <w:sz w:val="22"/>
          </w:rPr>
          <w:t>19.10(1)</w:t>
        </w:r>
      </w:hyperlink>
      <w:r>
        <w:rPr>
          <w:rFonts w:ascii="Times New Roman" w:hAnsi="Times New Roman"/>
          <w:b w:val="false"/>
          <w:i w:val="false"/>
          <w:color w:val="000000"/>
          <w:sz w:val="22"/>
        </w:rPr>
        <w:t xml:space="preserve"> for the applicable purchased gas adjustment clause. The quotient, determined on the same basis as the utility’s tariff rates, shall be a reduction to that particular purchased gas adjustment for the prospective ten-month period beginning November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overbilling percentage applicable to utilities serving fewer than 10,000 customers is 5 percent. For utilities serving 10,000 or more customers, the applicable percentage is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customer has reduced or terminated system supply service and is receiving transportation service, any liability for overcollections and undercollections shall be determined in accordance with the utility’s gas transportation tariff.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19.10(8)</w:t>
      </w:r>
      <w:r>
        <w:rPr>
          <w:rFonts w:ascii="Times New Roman" w:hAnsi="Times New Roman"/>
          <w:b w:val="false"/>
          <w:i w:val="false"/>
          <w:color w:val="000000"/>
          <w:sz w:val="22"/>
        </w:rPr>
        <w:t> </w:t>
      </w:r>
      <w:r>
        <w:rPr>
          <w:rFonts w:ascii="Times New Roman" w:hAnsi="Times New Roman"/>
          <w:b w:val="false"/>
          <w:i/>
          <w:color w:val="000000"/>
          <w:sz w:val="22"/>
        </w:rPr>
        <w:t xml:space="preserve">Refunds related to gas costs charged through the PGA. </w:t>
      </w:r>
      <w:r>
        <w:rPr>
          <w:rFonts w:ascii="Times New Roman" w:hAnsi="Times New Roman"/>
          <w:b w:val="false"/>
          <w:i w:val="false"/>
          <w:color w:val="000000"/>
          <w:sz w:val="22"/>
        </w:rPr>
        <w:t>The utility shall file a refund plan with the commission within 30 days of the receipt of any refund related to gas costs charged through the PGA.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refund to customers by bill credit or check an amount equal to any refund, plus accrued interest, if the refund exceeds $10 per average residential customer under the applicable customer classification or grouping. The utility may refund lesser amounts through the applicable customer classification or grouping or retain undistributed refund amounts in special refund retention accounts for each customer classification or grouping under the applicable PGA clause until such time as additional refund obligations or interest cause the average residential customer refund to exceed $10. Any obligations remaining in the retention accounts on September 1 shall become a part of the annual PGA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file with the refund plan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reason for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refund with support for the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balance of the appropriate refund retention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due under each customer classification or grouping.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intended period of the refund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interest accrued for each refund through the proposed refund period, with complete interest calculations and supporting data as determined in paragraph </w:t>
      </w:r>
      <w:hyperlink r:id="rId72">
        <w:r>
          <w:rPr>
            <w:rStyle w:val="Hyperlink"/>
            <w:rFonts w:ascii="Times New Roman" w:hAnsi="Times New Roman"/>
            <w:b w:val="false"/>
            <w:i w:val="false"/>
            <w:color w:val="000000"/>
            <w:sz w:val="22"/>
          </w:rPr>
          <w:t>19.10(8)</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amount to be refunded, the amount to be refunded per customer classification or grouping, and the refund per ccf or therm.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interest accrued for each refund received and for each amount in the refund retention accounts through the date of the filing with the complete interest calculation and support as determined in paragraph </w:t>
      </w:r>
      <w:hyperlink r:id="rId73">
        <w:r>
          <w:rPr>
            <w:rStyle w:val="Hyperlink"/>
            <w:rFonts w:ascii="Times New Roman" w:hAnsi="Times New Roman"/>
            <w:b w:val="false"/>
            <w:i w:val="false"/>
            <w:color w:val="000000"/>
            <w:sz w:val="22"/>
          </w:rPr>
          <w:t>19.10(8)</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total amount to be retained, the amount to be retained per customer classification or grouping, and the level per ccf or therm.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calculations demonstrating that the retained balance is less than $10 per average residential customer with supporting schedules for all factors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refund to each customer shall be determined by dividing the amount in the appropriate refund retention account, including interest, by the total ccf or therm of system gas consumed by affected customers during the period for which the refundable amounts are applicable and multiplying the quotient by the ccf or therms of system supply gas actually consumed by the customer during the appropriate period. The utility may use the last available 12-month period if the use of the actual period generating the refund is impractical. The utility shall file complete support documentation for all figures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interest rate on refunds distributed under this subrule, compounded annually, shall be the dealer commercial paper rate (90-day, high-grade unsecured notes) quoted in the “Money Rates” section of the Wall Street Journal on the day the refund obligation vests. Interest shall accrue from the date the rate-regulated utility receives the refund or billing from the supplier or the midpoint of the first month of overcollection to the date the refund is distributed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rate-regulated utility shall make a reasonable effort to forward refunds, by check, to eligible recipients who are no longer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minimum amount to be refunded by check shall be $5.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4">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199—19.11</w:t>
      </w:r>
      <w:r>
        <w:rPr>
          <w:rFonts w:ascii="Times New Roman" w:hAnsi="Times New Roman"/>
          <w:b/>
          <w:i w:val="false"/>
          <w:color w:val="000000"/>
          <w:sz w:val="22"/>
        </w:rPr>
        <w:t xml:space="preserve">(476) </w:t>
      </w:r>
      <w:r>
        <w:rPr>
          <w:rFonts w:ascii="Times New Roman" w:hAnsi="Times New Roman"/>
          <w:b/>
          <w:i w:val="false"/>
          <w:color w:val="000000"/>
          <w:sz w:val="22"/>
        </w:rPr>
        <w:t xml:space="preserve">Periodic review of gas procurement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Procurement plan. </w:t>
      </w:r>
      <w:r>
        <w:rPr>
          <w:rFonts w:ascii="Times New Roman" w:hAnsi="Times New Roman"/>
          <w:b w:val="false"/>
          <w:i w:val="false"/>
          <w:color w:val="000000"/>
          <w:sz w:val="22"/>
        </w:rPr>
        <w:t xml:space="preserve">Pursuant to Iowa Code section </w:t>
      </w:r>
      <w:hyperlink r:id="rId75">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 the commission shall periodically conduct a contested case proceeding for the purpose of evaluating the reasonableness and prudence of a rate-regulated public utility’s natural gas procurement and contracting practices. The commission shall provide the utilities 90 days’ notice of the requirement to file a procurement plan. In the years in which the commission does not conduct a contested case proceeding, the commission may require the utilities to file certain information for the commission’s review. In years in which the commission conducts a full proceeding, a rate-regulated utility shall file prepared direct testimony and exhibits in support of a detailed 12-month plan and a 3-year natural gas procurement plan. A utility’s procurement plan shall be organized as follows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index of all documents and information filed in the plan and identification of the commission files in which documents incorporated by reference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contracts and gas supply arrangements executed or in effect for obtaining gas and all supply arrangements planned for the future 12-month and 3-year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utility’s natural gas forecasting, procurement, and contracting practices; available supply options; and other available services (e.g., storage services, balancing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exhibit detailing the utility’s current, 12-month, and 3-year forecasts of total annual throughput by customer class, peak day demand, and anticipated reserve margin on a PGA-year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organizational description of the officer or division responsible for gas procurement and a summary of operating procedures and policies for procuring and evaluating gas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legal, regulatory, and commercial actions taken to minimize purchased gas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studies or investigation reports supporting the utility’s testimony or materially considered by the utility in contracting decisions during the plan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complete list of all contracts in effect at the time of the procurement plan filing. The list shall include the contract term, the applicable service, and the contracted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description of the supply options selected by the utility and an evaluation of the reasonableness and prudence of its contracting and procurement decisions. This evaluation should explain the relationship between forecast and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Evaluation of the plan. </w:t>
      </w:r>
      <w:r>
        <w:rPr>
          <w:rFonts w:ascii="Times New Roman" w:hAnsi="Times New Roman"/>
          <w:b w:val="false"/>
          <w:i w:val="false"/>
          <w:color w:val="000000"/>
          <w:sz w:val="22"/>
        </w:rPr>
        <w:t>The burden shall be on the utility to prove it is taking all reasonable actions to minimize its purchased gas costs. The commission will evaluate the reasonableness and prudence of the gas procurement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Disallowance of costs. </w:t>
      </w:r>
      <w:r>
        <w:rPr>
          <w:rFonts w:ascii="Times New Roman" w:hAnsi="Times New Roman"/>
          <w:b w:val="false"/>
          <w:i w:val="false"/>
          <w:color w:val="000000"/>
          <w:sz w:val="22"/>
        </w:rPr>
        <w:t>The commission shall disallow any purchased gas costs in excess of costs incurred under responsible and prudent policies and practices. The PGA factor shall be adjusted prospectively to reflect the disallowance.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19.11(4)</w:t>
      </w:r>
      <w:r>
        <w:rPr>
          <w:rFonts w:ascii="Times New Roman" w:hAnsi="Times New Roman"/>
          <w:b w:val="false"/>
          <w:i w:val="false"/>
          <w:color w:val="000000"/>
          <w:sz w:val="22"/>
        </w:rPr>
        <w:t> </w:t>
      </w:r>
      <w:r>
        <w:rPr>
          <w:rFonts w:ascii="Times New Roman" w:hAnsi="Times New Roman"/>
          <w:b w:val="false"/>
          <w:i/>
          <w:color w:val="000000"/>
          <w:sz w:val="22"/>
        </w:rPr>
        <w:t xml:space="preserve">Executive summary. </w:t>
      </w:r>
      <w:r>
        <w:rPr>
          <w:rFonts w:ascii="Times New Roman" w:hAnsi="Times New Roman"/>
          <w:b w:val="false"/>
          <w:i w:val="false"/>
          <w:color w:val="000000"/>
          <w:sz w:val="22"/>
        </w:rPr>
        <w:t>On or before August 1 of each year, each natural gas utility shall file an executive summary and index of all standard and special contracts in effect for the purchase, sale or interchange of gas. The executive summary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 and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estimated dollar value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service offered (including volumes and price).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476.6(11)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199—19.12</w:t>
      </w:r>
      <w:r>
        <w:rPr>
          <w:rFonts w:ascii="Times New Roman" w:hAnsi="Times New Roman"/>
          <w:b/>
          <w:i w:val="false"/>
          <w:color w:val="000000"/>
          <w:sz w:val="22"/>
        </w:rPr>
        <w:t xml:space="preserve">(476) </w:t>
      </w:r>
      <w:r>
        <w:rPr>
          <w:rFonts w:ascii="Times New Roman" w:hAnsi="Times New Roman"/>
          <w:b/>
          <w:i w:val="false"/>
          <w:color w:val="000000"/>
          <w:sz w:val="22"/>
        </w:rPr>
        <w:t xml:space="preserve">Flexible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subrule is intended to allow gas utility companies to offer, at their option, incentive or discount rates to their sales and transportation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Natural gas utility companies may offer discounts to individual customers, to selected groups of customers, or to an entire class of customers. However, discounted rates must be offered to all directly competing customers in the same service territory. Customers are direct competitors if they make the same end product (or offer the same service) for the same general group of customers. Customers that only produce component parts of the same end product are not directly competing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deciding whether to offer a specific discount, the utility shall evaluate the individual customer’s, group’s, or class’s situation and perform a cost-benefit analysis before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discount offered should be such as to significantly affect the customer’s or customers’ decision to stay on the system or to increase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consequences of offering the discount should be beneficial to all customers and to the utility. Other customers should not be at risk of loss as a result of these discounts; in addition, the offering of discounts shall in no way lead to subsidization of the discounted rates by other customers in the same or different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color w:val="000000"/>
          <w:sz w:val="22"/>
        </w:rPr>
        <w:t xml:space="preserve">Tariff requirements. </w:t>
      </w:r>
      <w:r>
        <w:rPr>
          <w:rFonts w:ascii="Times New Roman" w:hAnsi="Times New Roman"/>
          <w:b w:val="false"/>
          <w:i w:val="false"/>
          <w:color w:val="000000"/>
          <w:sz w:val="22"/>
        </w:rPr>
        <w:t>If a company elects to offer flexible rates, the utility shall file for review and approval tariff sheets specifying the general conditions for offering discounted rates. The tariff sheets shall include, at a minimum,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must demonstrate that offering the discount will be more beneficial than not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ceiling for all discounted rates shall be the approved rate on file for the customer’s rate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floor for the discount sales rates shall be equal to the cost of gas. Therefore, the maximum discount allowed under the sales or transportation tariffs is equal to the nongas costs of serving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discount shall be offered for a period longer than five years, unless the board determines upon good cause shown that a longer period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Discounts should not be offered if they will encourage deterioration in the load characteristics of the customer receiving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Customer charges may be discounted.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natural gas utility electing to offer flexible rates shall file annual reports with the commission within 30 days of the end of each 12 months. Reports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1 of the report concerns discounts initiated in the last 12 months. For all discounts initiated in the last 12 months,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new customers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 of the discount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 of alternate fuels available to the customer, if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to or transported for the customer in the preceding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all new or revised flexible-rate contracts executed between the utility and its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2 of the report relates to overall program evaluation. For all discounts currently being offered,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each customer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volume of gas sold or transported in the last 12 months to each customer at discounted rates,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or transported to each customer in the same 12 months of the preceding year,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the discount in the last 12 months to each customer,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value of volumes sold or transported to each customer for each of the previous 12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customer charges are discounted, the dollar value of the discount shall be separately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3 of the report concerns discounts denied or discounts terminated. For all customers specifically evaluated and denied or having a discount terminated in the last 12 months,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identification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or transported in the last 12 months to each customer,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volume of gas sold or transported to each customer in the same 12 months of the preceding year,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volumes sold or transported to each customer for each of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report is required if the utility had no customers receiving a discount during the relevant period and had no customers which were evaluated for the discount and rejected during the relevant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19.12(5)</w:t>
      </w:r>
      <w:r>
        <w:rPr>
          <w:rFonts w:ascii="Times New Roman" w:hAnsi="Times New Roman"/>
          <w:b w:val="false"/>
          <w:i w:val="false"/>
          <w:color w:val="000000"/>
          <w:sz w:val="22"/>
        </w:rPr>
        <w:t> </w:t>
      </w:r>
      <w:r>
        <w:rPr>
          <w:rFonts w:ascii="Times New Roman" w:hAnsi="Times New Roman"/>
          <w:b w:val="false"/>
          <w:i/>
          <w:color w:val="000000"/>
          <w:sz w:val="22"/>
        </w:rPr>
        <w:t xml:space="preserve">Rate case treatment. </w:t>
      </w:r>
      <w:r>
        <w:rPr>
          <w:rFonts w:ascii="Times New Roman" w:hAnsi="Times New Roman"/>
          <w:b w:val="false"/>
          <w:i w:val="false"/>
          <w:color w:val="000000"/>
          <w:sz w:val="22"/>
        </w:rPr>
        <w:t>In a rate case, 50 percent of any identifiable increase in net revenues will be used to reduce rates for all customers; the remaining 50 percent of the identifiable increase in net revenues may be kept by the utility. If there is a decrease in revenues due to the discount, the utility’s test year revenues will be adjusted to remove the effects of the discount by assuming that all sales or transportation services or customer charges were made at full tariffed rates for the customer class. Determining the actual amount will be a factual determination to be made in the rate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199—19.13</w:t>
      </w:r>
      <w:r>
        <w:rPr>
          <w:rFonts w:ascii="Times New Roman" w:hAnsi="Times New Roman"/>
          <w:b/>
          <w:i w:val="false"/>
          <w:color w:val="000000"/>
          <w:sz w:val="22"/>
        </w:rPr>
        <w:t xml:space="preserve">(476) </w:t>
      </w:r>
      <w:r>
        <w:rPr>
          <w:rFonts w:ascii="Times New Roman" w:hAnsi="Times New Roman"/>
          <w:b/>
          <w:i w:val="false"/>
          <w:color w:val="000000"/>
          <w:sz w:val="22"/>
        </w:rPr>
        <w:t xml:space="preserve">Transportation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subrule requires gas distribution utility companies to transport natural gas owned by an end user on a nondiscriminatory basis, subject to the capacity limitations of the specific system. System capacity is defined as the maximum flow of gas the relevant portion of the system is capable of handling. Capacity availability shall be determined using the total current firm gas flow, including both system and transportation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19.13(2)</w:t>
      </w:r>
      <w:r>
        <w:rPr>
          <w:rFonts w:ascii="Times New Roman" w:hAnsi="Times New Roman"/>
          <w:b w:val="false"/>
          <w:i w:val="false"/>
          <w:color w:val="000000"/>
          <w:sz w:val="22"/>
        </w:rPr>
        <w:t> </w:t>
      </w:r>
      <w:r>
        <w:rPr>
          <w:rFonts w:ascii="Times New Roman" w:hAnsi="Times New Roman"/>
          <w:b w:val="false"/>
          <w:i/>
          <w:color w:val="000000"/>
          <w:sz w:val="22"/>
        </w:rPr>
        <w:t xml:space="preserve">End user rights. </w:t>
      </w:r>
      <w:r>
        <w:rPr>
          <w:rFonts w:ascii="Times New Roman" w:hAnsi="Times New Roman"/>
          <w:b w:val="false"/>
          <w:i w:val="false"/>
          <w:color w:val="000000"/>
          <w:sz w:val="22"/>
        </w:rPr>
        <w:t>The end user purchasing transportation services from the utility shall have the following rights and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end user shall have the right to receive, pursuant to agreement, 100 percent of the gas delivered by it or on its behalf to the transporting utility (adjusted for a reasonable volume of lost, unaccounted-for, and company-used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volumes which the end user is entitled to receive shall be subject to curtailment or interruption due to limitations in the system capacity of the transporting utility. Curtailment of the transportation volumes will take place according to the priority class, subdivision, or category which the end user would have been assigned if it were purchasing gas from the transporting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periods of curtailment or interruption, the party is entitled to a credit equal to the difference between the volumes delivered to the utility and those received by the end user, adjusted for lost, unaccounted-for, and company-used gas. The credit shall be available at any time, within the conditions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user shall be responsible for all costs associated with any additional plant required for providing transportation services to the end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19.13(3)</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charges. </w:t>
      </w:r>
      <w:r>
        <w:rPr>
          <w:rFonts w:ascii="Times New Roman" w:hAnsi="Times New Roman"/>
          <w:b w:val="false"/>
          <w:i w:val="false"/>
          <w:color w:val="000000"/>
          <w:sz w:val="22"/>
        </w:rPr>
        <w:t>Transportation service shall be offered to at least the following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Interruptible distribution service with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Interruptible distribution service without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Firm distribution service with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Firm distribution service without system supply reserve.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19.13(4)</w:t>
      </w: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 charges and rates. </w:t>
      </w:r>
      <w:r>
        <w:rPr>
          <w:rFonts w:ascii="Times New Roman" w:hAnsi="Times New Roman"/>
          <w:b w:val="false"/>
          <w:i w:val="false"/>
          <w:color w:val="000000"/>
          <w:sz w:val="22"/>
        </w:rPr>
        <w:t>All rates and charges for transportation shall be based on the cost of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 supply reserve” service shall entitle the end user to return to the system service to the extent of the interstate pipeline capacity purchased. The charge shall be at least equal to the administrative costs of monitoring the service, plus any other costs (including but not limited to gas demand costs which are directly assignable to the end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End users without system supply reserve service may only return to system service by paying an additional charge and are subject to the availability of adequate interstate pipeline capacity. An end user wishing to receive transportation service without system supply reserve must pay the utility for the discounted value of any contract between the utility and the end user remaining in effect at the time of beginning transportation service. The discounted values shall include all directly assignable and identifiable costs (including but not limited to gas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may require a reconnection charge when an end user receiving transportation service without system supply reserve service requests to return to the system supply. The end user shall return to the system and receive service under the appropriate classification as determined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user electing to receive transportation service shall pay reasonable rates for any use of the facilities, equipment, or services of the transporting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A natural gas utility shall be required to provide a copy of information concerning transportation contracts upon request of the commission, commission staff, or the office of consumer advocate.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19.13(6)</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risks. </w:t>
      </w:r>
      <w:r>
        <w:rPr>
          <w:rFonts w:ascii="Times New Roman" w:hAnsi="Times New Roman"/>
          <w:b w:val="false"/>
          <w:i w:val="false"/>
          <w:color w:val="000000"/>
          <w:sz w:val="22"/>
        </w:rPr>
        <w:t xml:space="preserve">The utility must notify its large volume users as defined in </w:t>
      </w:r>
      <w:hyperlink r:id="rId77">
        <w:r>
          <w:rPr>
            <w:rStyle w:val="Hyperlink"/>
            <w:rFonts w:ascii="Times New Roman" w:hAnsi="Times New Roman"/>
            <w:b w:val="false"/>
            <w:i w:val="false"/>
            <w:color w:val="000000"/>
            <w:sz w:val="22"/>
          </w:rPr>
          <w:t>19.14(1)</w:t>
        </w:r>
      </w:hyperlink>
      <w:r>
        <w:rPr>
          <w:rFonts w:ascii="Times New Roman" w:hAnsi="Times New Roman"/>
          <w:b w:val="false"/>
          <w:i w:val="false"/>
          <w:color w:val="000000"/>
          <w:sz w:val="22"/>
        </w:rPr>
        <w:t xml:space="preserve"> contracting for transportation service in writing that unless the customer buys system supply reserve service from the utility, the utility is not obligated to supply gas to the customer. The notice must also advise the large volume user of the nature of any identifiable penalties, any administrative or reconnection costs associated with purchasing available firm or interruptible gas, and how any available gas would be priced by the utility. The notice may be provided through a contract provision or separate written instrument. The large volume user must acknowledge in writing that it has been made aware of the risks and accepts the risks.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199—19.14</w:t>
      </w:r>
      <w:r>
        <w:rPr>
          <w:rFonts w:ascii="Times New Roman" w:hAnsi="Times New Roman"/>
          <w:b/>
          <w:i w:val="false"/>
          <w:color w:val="000000"/>
          <w:sz w:val="22"/>
        </w:rPr>
        <w:t xml:space="preserve">(476) </w:t>
      </w:r>
      <w:r>
        <w:rPr>
          <w:rFonts w:ascii="Times New Roman" w:hAnsi="Times New Roman"/>
          <w:b/>
          <w:i w:val="false"/>
          <w:color w:val="000000"/>
          <w:sz w:val="22"/>
        </w:rPr>
        <w:t xml:space="preserve">Certification of competitive natural gas providers and aggregators.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meanings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natural gas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“CNGP” </w:t>
      </w:r>
      <w:r>
        <w:rPr>
          <w:rFonts w:ascii="Times New Roman" w:hAnsi="Times New Roman"/>
          <w:b w:val="false"/>
          <w:i w:val="false"/>
          <w:color w:val="000000"/>
          <w:sz w:val="22"/>
        </w:rPr>
        <w:t xml:space="preserve">means a person who takes title to natural gas and sells it for consumption by a retail end user in the state of Iowa, and it also means an aggregator as defined in Iowa Code section </w:t>
      </w:r>
      <w:hyperlink r:id="rId78">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CNGP includes an affiliate of an Iowa public utility. CNGP excludes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public utility which is subject to rate regulation under Iowa Code chapter </w:t>
      </w:r>
      <w:hyperlink r:id="rId7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municipally owned utility which provides natural gas service within its incorporated area or within the municipal natural gas competitive service area, as defined in Iowa Code section </w:t>
      </w:r>
      <w:hyperlink r:id="rId80">
        <w:r>
          <w:rPr>
            <w:rStyle w:val="Hyperlink"/>
            <w:rFonts w:ascii="Times New Roman" w:hAnsi="Times New Roman"/>
            <w:b w:val="false"/>
            <w:i w:val="false"/>
            <w:color w:val="000000"/>
            <w:sz w:val="22"/>
          </w:rPr>
          <w:t>437A.3(22)</w:t>
        </w:r>
      </w:hyperlink>
      <w:r>
        <w:rPr>
          <w:rFonts w:ascii="Times New Roman" w:hAnsi="Times New Roman"/>
          <w:b w:val="false"/>
          <w:i/>
          <w:color w:val="000000"/>
          <w:sz w:val="22"/>
        </w:rPr>
        <w:t>“a”</w:t>
      </w:r>
      <w:r>
        <w:rPr>
          <w:rFonts w:ascii="Times New Roman" w:hAnsi="Times New Roman"/>
          <w:b w:val="false"/>
          <w:i w:val="false"/>
          <w:color w:val="000000"/>
          <w:sz w:val="22"/>
        </w:rPr>
        <w:t>(1), in which the municipally owned utility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natural gas services” </w:t>
      </w:r>
      <w:r>
        <w:rPr>
          <w:rFonts w:ascii="Times New Roman" w:hAnsi="Times New Roman"/>
          <w:b w:val="false"/>
          <w:i w:val="false"/>
          <w:color w:val="000000"/>
          <w:sz w:val="22"/>
        </w:rPr>
        <w:t xml:space="preserve">means natural gas sold at retail in this state excluding the sale of natural gas by a rate-regulated public utility or a municipally owned utility as provided in the definition of CNGP in </w:t>
      </w:r>
      <w:hyperlink r:id="rId81">
        <w:r>
          <w:rPr>
            <w:rStyle w:val="Hyperlink"/>
            <w:rFonts w:ascii="Times New Roman" w:hAnsi="Times New Roman"/>
            <w:b w:val="false"/>
            <w:i w:val="false"/>
            <w:color w:val="000000"/>
            <w:sz w:val="22"/>
          </w:rPr>
          <w:t>19.14(1)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“Large volume user” </w:t>
      </w:r>
      <w:r>
        <w:rPr>
          <w:rFonts w:ascii="Times New Roman" w:hAnsi="Times New Roman"/>
          <w:b w:val="false"/>
          <w:i w:val="false"/>
          <w:color w:val="000000"/>
          <w:sz w:val="22"/>
        </w:rPr>
        <w:t>means any end user whose usage exceeds 25,000 therms in any month or 100,000 therms in any consecutive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volume user” </w:t>
      </w:r>
      <w:r>
        <w:rPr>
          <w:rFonts w:ascii="Times New Roman" w:hAnsi="Times New Roman"/>
          <w:b w:val="false"/>
          <w:i w:val="false"/>
          <w:color w:val="000000"/>
          <w:sz w:val="22"/>
        </w:rPr>
        <w:t>means any end user whose usage does not exceed 25,000 therms in any month and does not exceed 100,000 therms in any consecutive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fuel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“VFP” </w:t>
      </w:r>
      <w:r>
        <w:rPr>
          <w:rFonts w:ascii="Times New Roman" w:hAnsi="Times New Roman"/>
          <w:b w:val="false"/>
          <w:i w:val="false"/>
          <w:color w:val="000000"/>
          <w:sz w:val="22"/>
        </w:rPr>
        <w:t xml:space="preserve">means a competitive natural gas provider or aggregator as defined in Iowa Code section </w:t>
      </w:r>
      <w:hyperlink r:id="rId82">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that owns or operates facilities to sell natural gas as vehicle fuel to a retail end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 to obtain certificate. </w:t>
      </w:r>
      <w:r>
        <w:rPr>
          <w:rFonts w:ascii="Times New Roman" w:hAnsi="Times New Roman"/>
          <w:b w:val="false"/>
          <w:i w:val="false"/>
          <w:color w:val="000000"/>
          <w:sz w:val="22"/>
        </w:rPr>
        <w:t xml:space="preserve">A CNGP shall not provide competitive natural gas services to an Iowa retail end user without a certificate approved by the commission pursuant to Iowa Code section </w:t>
      </w:r>
      <w:hyperlink r:id="rId83">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and application process. </w:t>
      </w:r>
      <w:r>
        <w:rPr>
          <w:rFonts w:ascii="Times New Roman" w:hAnsi="Times New Roman"/>
          <w:b w:val="false"/>
          <w:i w:val="false"/>
          <w:color w:val="000000"/>
          <w:sz w:val="22"/>
        </w:rPr>
        <w:t xml:space="preserve">Applications for a certificate to provide service as a competitive natural gas provider shall be filed electronically through the commission’s electronic filing system. Instructions for making an electronic filing can be found on the commission’s electronic filing system website at </w:t>
      </w:r>
      <w:hyperlink r:id="rId84">
        <w:r>
          <w:rPr>
            <w:rStyle w:val="Hyperlink"/>
            <w:rFonts w:ascii="Times New Roman" w:hAnsi="Times New Roman"/>
            <w:b w:val="false"/>
            <w:i w:val="false"/>
            <w:color w:val="000000"/>
            <w:sz w:val="22"/>
            <w:u w:val="single"/>
          </w:rPr>
          <w:t>efs.iowa.gov</w:t>
        </w:r>
      </w:hyperlink>
      <w:r>
        <w:rPr>
          <w:rFonts w:ascii="Times New Roman" w:hAnsi="Times New Roman"/>
          <w:b w:val="false"/>
          <w:i w:val="false"/>
          <w:color w:val="000000"/>
          <w:sz w:val="22"/>
        </w:rPr>
        <w:t xml:space="preserve">. Application forms can be found on the commission’s website at </w:t>
      </w:r>
      <w:hyperlink r:id="rId85">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or may be requested from the Executive Secretary, Iowa Utilities Commission, 1375 E. Court Avenue, Room 69,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time spent reviewing the application, the commission will directly assess the applicant as set forth in </w:t>
      </w:r>
      <w:hyperlink r:id="rId86">
        <w:r>
          <w:rPr>
            <w:rStyle w:val="Hyperlink"/>
            <w:rFonts w:ascii="Times New Roman" w:hAnsi="Times New Roman"/>
            <w:b w:val="false"/>
            <w:i w:val="false"/>
            <w:color w:val="000000"/>
            <w:sz w:val="22"/>
          </w:rPr>
          <w:t>199—Chapter 17</w:t>
        </w:r>
      </w:hyperlink>
      <w:r>
        <w:rPr>
          <w:rFonts w:ascii="Times New Roman" w:hAnsi="Times New Roman"/>
          <w:b w:val="false"/>
          <w:i w:val="false"/>
          <w:color w:val="000000"/>
          <w:sz w:val="22"/>
        </w:rPr>
        <w:t xml:space="preserve">. Iowa Code section </w:t>
      </w:r>
      <w:hyperlink r:id="rId87">
        <w:r>
          <w:rPr>
            <w:rStyle w:val="Hyperlink"/>
            <w:rFonts w:ascii="Times New Roman" w:hAnsi="Times New Roman"/>
            <w:b w:val="false"/>
            <w:i w:val="false"/>
            <w:color w:val="000000"/>
            <w:sz w:val="22"/>
          </w:rPr>
          <w:t>476.87(3)</w:t>
        </w:r>
      </w:hyperlink>
      <w:r>
        <w:rPr>
          <w:rFonts w:ascii="Times New Roman" w:hAnsi="Times New Roman"/>
          <w:b w:val="false"/>
          <w:i w:val="false"/>
          <w:color w:val="000000"/>
          <w:sz w:val="22"/>
        </w:rPr>
        <w:t xml:space="preserve"> requires the commission to allocate the costs and expenses reasonably attributable to certification and dispute resolution to applicants and participants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to provide service as a competitive natural gas provider pursuant to Iowa Code sections </w:t>
      </w:r>
      <w:hyperlink r:id="rId88">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 xml:space="preserve"> shall contain information to reasonably demonstrate that the applicant possesses the managerial, technical, and financial capability sufficient to obtain and deliver the services the competitive natural gas provider or aggregator proposes to offer. Application forms to provide competitive natural gas service to large volume, small volume, and vehicle fuel providers can be accessed on the commission’s website, </w:t>
      </w:r>
      <w:hyperlink r:id="rId90">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All applications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name and all trade names under which the applicant will operate, a description of the business structure of the applicant, evidence of authority to do business in Iowa, and the applicant’s state of incorporation.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addresses, and telephone numbers of corporate officers responsible for the applicant’s operations in Iowa, and a telephone number where the applicant can be contacted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states and jurisdictions in which the applicant or an affiliate is providing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commitment to comply with all the applicable conditions of certification contained in subrules </w:t>
      </w:r>
      <w:hyperlink r:id="rId91">
        <w:r>
          <w:rPr>
            <w:rStyle w:val="Hyperlink"/>
            <w:rFonts w:ascii="Times New Roman" w:hAnsi="Times New Roman"/>
            <w:b w:val="false"/>
            <w:i w:val="false"/>
            <w:color w:val="000000"/>
            <w:sz w:val="22"/>
          </w:rPr>
          <w:t>19.14(5)</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19.14(6)</w:t>
        </w:r>
      </w:hyperlink>
      <w:r>
        <w:rPr>
          <w:rFonts w:ascii="Times New Roman" w:hAnsi="Times New Roman"/>
          <w:b w:val="false"/>
          <w:i w:val="false"/>
          <w:color w:val="000000"/>
          <w:sz w:val="22"/>
        </w:rPr>
        <w:t xml:space="preserve"> and acknowledgment that failure to comply with all the applicable conditions of certification may result in the revocation of the competitive natural gas provider’s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confidential treatment of the information required to obtain a competitive natural gas provider certificate may be filed with the commission pursuant to </w:t>
      </w:r>
      <w:hyperlink r:id="rId93">
        <w:r>
          <w:rPr>
            <w:rStyle w:val="Hyperlink"/>
            <w:rFonts w:ascii="Times New Roman" w:hAnsi="Times New Roman"/>
            <w:b w:val="false"/>
            <w:i w:val="false"/>
            <w:color w:val="000000"/>
            <w:sz w:val="22"/>
          </w:rPr>
          <w:t>199—subrule 1.9(6)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shall notify the commission during the pendency of the certification request of any material change in the representations and commitments made in the application within 14 days of such change. Any new legal actions or formal complaints are considered material changes in the request. Once certified, CNGPs shall notify the commission of any material change in the representations and commitments required for certification within 14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19.14(4)</w:t>
      </w:r>
      <w:r>
        <w:rPr>
          <w:rFonts w:ascii="Times New Roman" w:hAnsi="Times New Roman"/>
          <w:b w:val="false"/>
          <w:i w:val="false"/>
          <w:color w:val="000000"/>
          <w:sz w:val="22"/>
        </w:rPr>
        <w:t> </w:t>
      </w:r>
      <w:r>
        <w:rPr>
          <w:rFonts w:ascii="Times New Roman" w:hAnsi="Times New Roman"/>
          <w:b w:val="false"/>
          <w:i/>
          <w:color w:val="000000"/>
          <w:sz w:val="22"/>
        </w:rPr>
        <w:t xml:space="preserve">Deficiencies and commission determination. </w:t>
      </w:r>
      <w:r>
        <w:rPr>
          <w:rFonts w:ascii="Times New Roman" w:hAnsi="Times New Roman"/>
          <w:b w:val="false"/>
          <w:i w:val="false"/>
          <w:color w:val="000000"/>
          <w:sz w:val="22"/>
        </w:rPr>
        <w:t>The commission shall act on a certification application within 90 days unless it determines an additional 60 days is necessary. Applications will be considered complete and the 90-day period will commence when all required items are submitted. Applicants will be notified of deficiencies and given 30 days to complete applications. Applications with deficiencies that are not cured within the 30-day period will be denied. Applicants will be notified when their application is complete and the 90-day period commences.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19.14(5)</w:t>
      </w:r>
      <w:r>
        <w:rPr>
          <w:rFonts w:ascii="Times New Roman" w:hAnsi="Times New Roman"/>
          <w:b w:val="false"/>
          <w:i w:val="false"/>
          <w:color w:val="000000"/>
          <w:sz w:val="22"/>
        </w:rPr>
        <w:t> </w:t>
      </w:r>
      <w:r>
        <w:rPr>
          <w:rFonts w:ascii="Times New Roman" w:hAnsi="Times New Roman"/>
          <w:b w:val="false"/>
          <w:i/>
          <w:color w:val="000000"/>
          <w:sz w:val="22"/>
        </w:rPr>
        <w:t xml:space="preserve">Conditions of certification. </w:t>
      </w:r>
      <w:r>
        <w:rPr>
          <w:rFonts w:ascii="Times New Roman" w:hAnsi="Times New Roman"/>
          <w:b w:val="false"/>
          <w:i w:val="false"/>
          <w:color w:val="000000"/>
          <w:sz w:val="22"/>
        </w:rPr>
        <w:t>CNGPs shall comply with the conditions set out in this subrule. Failure to comply with the conditions of certification may result in revocation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Unauthorized charges. A CNGP shall not charge or attempt to collect any charges from end users for any competitive natural gas services or equipment used in providing competitive natural gas services not contracted for or otherwise agreed to by the end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of emergencies. Upon receipt of information from an end user of the existence of an emergency situation with respect to delivery service, a CNGP shall immediately contact the appropriate public utility whose facilities may be involved. The CNGP shall also provide the end user with the emergency telephone number of the public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Reports to the commission. </w:t>
      </w:r>
      <w:r>
        <w:rPr>
          <w:rFonts w:ascii="Times New Roman" w:hAnsi="Times New Roman"/>
          <w:b w:val="false"/>
          <w:i w:val="false"/>
          <w:color w:val="000000"/>
          <w:sz w:val="22"/>
        </w:rPr>
        <w:t xml:space="preserve">Each CNGP shall file a report with the commission on April 1 of each year for the 12-month period ending December 31 of the previous year. The report shall be filed on forms provided by the commission, which can be accessed on the commission’s website, </w:t>
      </w:r>
      <w:hyperlink r:id="rId94">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This information may be filed with a request for confidentiality, pursuant to </w:t>
      </w:r>
      <w:hyperlink r:id="rId95">
        <w:r>
          <w:rPr>
            <w:rStyle w:val="Hyperlink"/>
            <w:rFonts w:ascii="Times New Roman" w:hAnsi="Times New Roman"/>
            <w:b w:val="false"/>
            <w:i w:val="false"/>
            <w:color w:val="000000"/>
            <w:sz w:val="22"/>
          </w:rPr>
          <w:t>199—subrule 1.9(6)</w:t>
        </w:r>
      </w:hyperlink>
      <w:r>
        <w:rPr>
          <w:rFonts w:ascii="Times New Roman" w:hAnsi="Times New Roman"/>
          <w:b w:val="false"/>
          <w:i w:val="false"/>
          <w:color w:val="000000"/>
          <w:sz w:val="22"/>
        </w:rPr>
        <w:t>. For each utility distribution system, the report shall include, at a minimum, total monthly and annual sales volumes, total monthly revenues, and total number of customers served each month as of December 31 of the applicable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4/28/04</w:t>
      </w:r>
      <w:r>
        <w:rPr>
          <w:rFonts w:ascii="Times New Roman" w:hAnsi="Times New Roman"/>
          <w:b w:val="false"/>
          <w:i w:val="false"/>
          <w:color w:val="000000"/>
          <w:sz w:val="22"/>
        </w:rPr>
        <w:t>, effective 6/2/04.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19.14(6)</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applicable to CNGPs providing service to small volume end users. </w:t>
      </w:r>
      <w:r>
        <w:rPr>
          <w:rFonts w:ascii="Times New Roman" w:hAnsi="Times New Roman"/>
          <w:b w:val="false"/>
          <w:i w:val="false"/>
          <w:color w:val="000000"/>
          <w:sz w:val="22"/>
        </w:rPr>
        <w:t xml:space="preserve">All CNGPs when providing service to small volume natural gas end users shall be subject to the following conditions in addition to those listed under subrule </w:t>
      </w:r>
      <w:hyperlink r:id="rId96">
        <w:r>
          <w:rPr>
            <w:rStyle w:val="Hyperlink"/>
            <w:rFonts w:ascii="Times New Roman" w:hAnsi="Times New Roman"/>
            <w:b w:val="false"/>
            <w:i w:val="false"/>
            <w:color w:val="000000"/>
            <w:sz w:val="22"/>
          </w:rPr>
          <w:t>19.14(5)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r>
        <w:rPr>
          <w:rFonts w:ascii="Times New Roman" w:hAnsi="Times New Roman"/>
          <w:b w:val="false"/>
          <w:i w:val="false"/>
          <w:color w:val="000000"/>
          <w:sz w:val="22"/>
        </w:rPr>
        <w:t>Compliance with the following provisions shall apply to customers whose usage does not exceed 2,500 therms in any month or 10,000 therms in any consecutive 12-month period.</w:t>
      </w:r>
    </w:p>
    <w:p>
      <w:pPr>
        <w:spacing w:before="0" w:after="0"/>
        <w:ind w:left="120"/>
        <w:jc w:val="both"/>
      </w:pPr>
      <w:r>
        <w:rPr>
          <w:rFonts w:ascii="Times New Roman" w:hAnsi="Times New Roman"/>
          <w:b w:val="false"/>
          <w:i w:val="false"/>
          <w:color w:val="000000"/>
          <w:sz w:val="22"/>
        </w:rPr>
        <w:t xml:space="preserve">Customer deposits – subrule </w:t>
      </w:r>
      <w:hyperlink r:id="rId97">
        <w:r>
          <w:rPr>
            <w:rStyle w:val="Hyperlink"/>
            <w:rFonts w:ascii="Times New Roman" w:hAnsi="Times New Roman"/>
            <w:b w:val="false"/>
            <w:i w:val="false"/>
            <w:color w:val="000000"/>
            <w:sz w:val="22"/>
          </w:rPr>
          <w:t>19.4(3).</w:t>
        </w:r>
      </w:hyperlink>
    </w:p>
    <w:p>
      <w:pPr>
        <w:spacing w:before="0" w:after="0"/>
        <w:ind w:left="120"/>
        <w:jc w:val="both"/>
      </w:pPr>
      <w:r>
        <w:rPr>
          <w:rFonts w:ascii="Times New Roman" w:hAnsi="Times New Roman"/>
          <w:b w:val="false"/>
          <w:i w:val="false"/>
          <w:color w:val="000000"/>
          <w:sz w:val="22"/>
        </w:rPr>
        <w:t xml:space="preserve">Interest on customer deposits – subrule </w:t>
      </w:r>
      <w:hyperlink r:id="rId98">
        <w:r>
          <w:rPr>
            <w:rStyle w:val="Hyperlink"/>
            <w:rFonts w:ascii="Times New Roman" w:hAnsi="Times New Roman"/>
            <w:b w:val="false"/>
            <w:i w:val="false"/>
            <w:color w:val="000000"/>
            <w:sz w:val="22"/>
          </w:rPr>
          <w:t>19.4(4).</w:t>
        </w:r>
      </w:hyperlink>
    </w:p>
    <w:p>
      <w:pPr>
        <w:spacing w:before="0" w:after="0"/>
        <w:ind w:left="120"/>
        <w:jc w:val="both"/>
      </w:pPr>
      <w:r>
        <w:rPr>
          <w:rFonts w:ascii="Times New Roman" w:hAnsi="Times New Roman"/>
          <w:b w:val="false"/>
          <w:i w:val="false"/>
          <w:color w:val="000000"/>
          <w:sz w:val="22"/>
        </w:rPr>
        <w:t xml:space="preserve">Customer deposit records – subrule </w:t>
      </w:r>
      <w:hyperlink r:id="rId99">
        <w:r>
          <w:rPr>
            <w:rStyle w:val="Hyperlink"/>
            <w:rFonts w:ascii="Times New Roman" w:hAnsi="Times New Roman"/>
            <w:b w:val="false"/>
            <w:i w:val="false"/>
            <w:color w:val="000000"/>
            <w:sz w:val="22"/>
          </w:rPr>
          <w:t>19.4(5).</w:t>
        </w:r>
      </w:hyperlink>
    </w:p>
    <w:p>
      <w:pPr>
        <w:spacing w:before="0" w:after="0"/>
        <w:ind w:left="120"/>
        <w:jc w:val="both"/>
      </w:pPr>
      <w:r>
        <w:rPr>
          <w:rFonts w:ascii="Times New Roman" w:hAnsi="Times New Roman"/>
          <w:b w:val="false"/>
          <w:i w:val="false"/>
          <w:color w:val="000000"/>
          <w:sz w:val="22"/>
        </w:rPr>
        <w:t xml:space="preserve">Customer’s receipt for a deposit – subrule </w:t>
      </w:r>
      <w:hyperlink r:id="rId100">
        <w:r>
          <w:rPr>
            <w:rStyle w:val="Hyperlink"/>
            <w:rFonts w:ascii="Times New Roman" w:hAnsi="Times New Roman"/>
            <w:b w:val="false"/>
            <w:i w:val="false"/>
            <w:color w:val="000000"/>
            <w:sz w:val="22"/>
          </w:rPr>
          <w:t>19.4(6).</w:t>
        </w:r>
      </w:hyperlink>
    </w:p>
    <w:p>
      <w:pPr>
        <w:spacing w:before="0" w:after="0"/>
        <w:ind w:left="120"/>
        <w:jc w:val="both"/>
      </w:pPr>
      <w:r>
        <w:rPr>
          <w:rFonts w:ascii="Times New Roman" w:hAnsi="Times New Roman"/>
          <w:b w:val="false"/>
          <w:i w:val="false"/>
          <w:color w:val="000000"/>
          <w:sz w:val="22"/>
        </w:rPr>
        <w:t xml:space="preserve">Deposit refund – subrule </w:t>
      </w:r>
      <w:hyperlink r:id="rId101">
        <w:r>
          <w:rPr>
            <w:rStyle w:val="Hyperlink"/>
            <w:rFonts w:ascii="Times New Roman" w:hAnsi="Times New Roman"/>
            <w:b w:val="false"/>
            <w:i w:val="false"/>
            <w:color w:val="000000"/>
            <w:sz w:val="22"/>
          </w:rPr>
          <w:t>19.4(7).</w:t>
        </w:r>
      </w:hyperlink>
    </w:p>
    <w:p>
      <w:pPr>
        <w:spacing w:before="0" w:after="0"/>
        <w:ind w:left="120"/>
        <w:jc w:val="both"/>
      </w:pPr>
      <w:r>
        <w:rPr>
          <w:rFonts w:ascii="Times New Roman" w:hAnsi="Times New Roman"/>
          <w:b w:val="false"/>
          <w:i w:val="false"/>
          <w:color w:val="000000"/>
          <w:sz w:val="22"/>
        </w:rPr>
        <w:t xml:space="preserve">Unclaimed deposits – subrule </w:t>
      </w:r>
      <w:hyperlink r:id="rId102">
        <w:r>
          <w:rPr>
            <w:rStyle w:val="Hyperlink"/>
            <w:rFonts w:ascii="Times New Roman" w:hAnsi="Times New Roman"/>
            <w:b w:val="false"/>
            <w:i w:val="false"/>
            <w:color w:val="000000"/>
            <w:sz w:val="22"/>
          </w:rPr>
          <w:t>19.4(8).</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Bills to end users. </w:t>
      </w:r>
      <w:r>
        <w:rPr>
          <w:rFonts w:ascii="Times New Roman" w:hAnsi="Times New Roman"/>
          <w:b w:val="false"/>
          <w:i w:val="false"/>
          <w:color w:val="000000"/>
          <w:sz w:val="22"/>
        </w:rPr>
        <w:t>A CNGP shall include on bills to end users all the information listed in this paragraph. The bill may be sent to the customer electronically at the customer’s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period of time for which the billing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owed for current service, including an itemization of all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past-due amount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last date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penalty for any late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location for or method of remitting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toll-free telephone number for the end user to call for information and to make complaints regarding the CNGP.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toll-free telephone number for the end user to contact the CNGP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toll-free telephone number for the end user to notify the public utility of an emergency regarding delivery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tariffed transportation charges and supplier refunds, where a combined bill is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Each prospective end user must receive in writing, prior to initiation of service, all terms and conditions of service and all rights and responsibilities of the end user associated with the offered service. The information required by this paragraph may be provided electronically, at the customer’s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of service termination. </w:t>
      </w:r>
      <w:r>
        <w:rPr>
          <w:rFonts w:ascii="Times New Roman" w:hAnsi="Times New Roman"/>
          <w:b w:val="false"/>
          <w:i w:val="false"/>
          <w:color w:val="000000"/>
          <w:sz w:val="22"/>
        </w:rPr>
        <w:t>Notice must be provided to the end user and the public utility at least 12 calendar days prior to service termination. If the notice of service termination is rescinded, the CNGP must notify the public utility. CNGPs are prohibited from physically disconnecting the end user or threatening physical disconnection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Transfer of accounts. </w:t>
      </w:r>
      <w:r>
        <w:rPr>
          <w:rFonts w:ascii="Times New Roman" w:hAnsi="Times New Roman"/>
          <w:b w:val="false"/>
          <w:i w:val="false"/>
          <w:color w:val="000000"/>
          <w:sz w:val="22"/>
        </w:rPr>
        <w:t>CNGPs are prohibited from transferring the account of any end user to another supplier except with the consent of the end user. This provision does not preclude a CNGP from transferring all or a portion of its accounts pursuant to a sale or transfer of all or a substantial portion of a CNGP’s business in Iowa, provided that the transfer satisfies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transferee will serve the affected end users through a certified CNGP;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transferee will honor the transferor’s contracts with the affected end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transferor provides written notice of the transfer to each affected end user prior to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affected end user is given 30 days to change supplier without penalty;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transferor provides notice to the public utility of the effective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Bond requirement. </w:t>
      </w:r>
      <w:r>
        <w:rPr>
          <w:rFonts w:ascii="Times New Roman" w:hAnsi="Times New Roman"/>
          <w:b w:val="false"/>
          <w:i w:val="false"/>
          <w:color w:val="000000"/>
          <w:sz w:val="22"/>
        </w:rPr>
        <w:t>The commission may require the applicant to file a bond or other demonstration of its financial capability to satisfy claims and expenses that can reasonably be anticipated to occur as part of operations under its certificate, including the failure to honor contractual commitments. The adequacy of the bond or demonstration shall be determined by the commission and reviewed by the commission from time to time. In determining the adequacy of the bond or demonstration, the commission shall consider the extent of the services to be offered, the size of the provider, and the size of the load to be served, with the objective of ensuring that the commission’s financial requirements do not create unreasonable barriers to market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Replacement cost for supply failure. </w:t>
      </w:r>
      <w:r>
        <w:rPr>
          <w:rFonts w:ascii="Times New Roman" w:hAnsi="Times New Roman"/>
          <w:b w:val="false"/>
          <w:i w:val="false"/>
          <w:color w:val="000000"/>
          <w:sz w:val="22"/>
        </w:rPr>
        <w:t>Each individual rate-regulated public utility shall file for the commission’s review tariffs establishing replacement cost for supply failure. Replacement cost revenue will be credited to the rate-regulated public utility’s system purchased gas adjustment.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6044C</w:t>
      </w:r>
      <w:r>
        <w:rPr>
          <w:rFonts w:ascii="Times New Roman" w:hAnsi="Times New Roman"/>
          <w:b w:val="false"/>
          <w:i w:val="false"/>
          <w:color w:val="000000"/>
          <w:sz w:val="16"/>
        </w:rPr>
        <w:t>, IAB 11/17/21, effective 12/22/21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199—19.15</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contribution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gas public utility, as defined in Iowa Code sections </w:t>
      </w:r>
      <w:hyperlink r:id="rId10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Pursuant to Iowa Code section </w:t>
      </w:r>
      <w:hyperlink r:id="rId105">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each utility shall maintain a program plan to assist the utility’s low-income customers with weatherization and to supplement assistance received under the federal low-income home energy assistance program for the payment of winter heating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utility shall notify all customers of the customer contribution fund at least twice a year. The method of notice which will ensure the most comprehensive notification to the utility’s customers shall be employed. Upon commencement of service and at least once a year, the notice shall be mailed or personally delivered to all customers, or provided by electronic means to those customers who have consented to receiving electronic notices. The other required notice may be published in a local newspaper(s) of general circulation within the utility’s service territory. A utility serving fewer than 6,000 customers may publish its semiannual notices locally in a free newspaper, utility newsletter or shopper’s guide instead of a newspaper. At a minimum,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and the purpose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customer authorization form. This form shall include a monthly billing option and any other methods of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19.15(3)</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The utility shall provide for contributions as monthly pledges, as well as one-time or periodic contributions. A pledge by a customer or other party shall not be construed to be a binding contract between the utility and the pledgor. The pledge amount shall not be subject to delayed payment charges by the utility. Each utility may allow persons or organizations to contribute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19.15(4)</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utility shall file with the commission a report of all the customer contribution fund activity for the previous fiscal year beginning July 1 and ending June 30. The report shall be in a form provided by the commission and shall contain an accounting of the total revenues collected and all distributions of the fund. The utility shall report all utility expenses directly related to the customer contribution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199—19.16</w:t>
      </w:r>
      <w:r>
        <w:rPr>
          <w:rFonts w:ascii="Times New Roman" w:hAnsi="Times New Roman"/>
          <w:b/>
          <w:i w:val="false"/>
          <w:color w:val="000000"/>
          <w:sz w:val="22"/>
        </w:rPr>
        <w:t xml:space="preserve">(476) </w:t>
      </w:r>
      <w:r>
        <w:rPr>
          <w:rFonts w:ascii="Times New Roman" w:hAnsi="Times New Roman"/>
          <w:b/>
          <w:i w:val="false"/>
          <w:color w:val="000000"/>
          <w:sz w:val="22"/>
        </w:rPr>
        <w:t xml:space="preserve">Reserve margin.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All rate-regulated gas utility companies may maintain a reserve of contract services in excess of their maximum daily system demand requirement and recover the cost of the reserve from their customers through the purchased gas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Contract services. </w:t>
      </w:r>
      <w:r>
        <w:rPr>
          <w:rFonts w:ascii="Times New Roman" w:hAnsi="Times New Roman"/>
          <w:b w:val="false"/>
          <w:i w:val="false"/>
          <w:color w:val="000000"/>
          <w:sz w:val="22"/>
        </w:rPr>
        <w:t>The amount of firm gas delivery capacity or delivery services contracted for use by a utility to satisfy its maximum daily system demand requirement, including the planned delivery capacity of the utility-owned liquefied natural gas facilities, but excluding the delivery capacity of propane storage facilities, shall be considered as contract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w:t>
      </w:r>
      <w:r>
        <w:rPr>
          <w:rFonts w:ascii="Times New Roman" w:hAnsi="Times New Roman"/>
          <w:b w:val="false"/>
          <w:i w:val="false"/>
          <w:color w:val="000000"/>
          <w:sz w:val="22"/>
        </w:rPr>
        <w:t>The maximum daily gas demand requirement that the utility forecasts to occur on behalf of its system firm sales customers under peak (design day) weather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 day. </w:t>
      </w:r>
      <w:r>
        <w:rPr>
          <w:rFonts w:ascii="Times New Roman" w:hAnsi="Times New Roman"/>
          <w:b w:val="false"/>
          <w:i w:val="false"/>
          <w:color w:val="000000"/>
          <w:sz w:val="22"/>
        </w:rPr>
        <w:t>The maximum heating season forecast level of all firm sales customers’ gas requirements during a 24-hour period beginning at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The design day forecast shall be the combined estimated gas requirements of all firm sales customers calculated by totaling the gas requirements of each customer classification or grouping. The estimated gas requirements for each customer classification or grouping shall be determined based upon an evaluation of historic usage levels of customers in each customer classification or grouping, adjusted for reasonably anticipated colder-than-normal weather conditions and any other clearly identifiable factors that may contribute to the demand for gas by firm customers. The design day calculation shall be submitted for approval by the commission with the annual PGA filing required by subrule </w:t>
      </w:r>
      <w:hyperlink r:id="rId106">
        <w:r>
          <w:rPr>
            <w:rStyle w:val="Hyperlink"/>
            <w:rFonts w:ascii="Times New Roman" w:hAnsi="Times New Roman"/>
            <w:b w:val="false"/>
            <w:i w:val="false"/>
            <w:color w:val="000000"/>
            <w:sz w:val="22"/>
          </w:rPr>
          <w:t>19.10(2)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19.16(3)</w:t>
      </w: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of less than 25,000 Dth per day. </w:t>
      </w:r>
      <w:r>
        <w:rPr>
          <w:rFonts w:ascii="Times New Roman" w:hAnsi="Times New Roman"/>
          <w:b w:val="false"/>
          <w:i w:val="false"/>
          <w:color w:val="000000"/>
          <w:sz w:val="22"/>
        </w:rPr>
        <w:t>A reserve margin of 9 percent or less in excess of the maximum daily system demand requirements will be presumed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19.16(4)</w:t>
      </w:r>
      <w:r>
        <w:rPr>
          <w:rFonts w:ascii="Times New Roman" w:hAnsi="Times New Roman"/>
          <w:b w:val="false"/>
          <w:i w:val="false"/>
          <w:color w:val="000000"/>
          <w:sz w:val="22"/>
        </w:rPr>
        <w:t> </w:t>
      </w:r>
      <w:r>
        <w:rPr>
          <w:rFonts w:ascii="Times New Roman" w:hAnsi="Times New Roman"/>
          <w:b w:val="false"/>
          <w:i/>
          <w:color w:val="000000"/>
          <w:sz w:val="22"/>
        </w:rPr>
        <w:t xml:space="preserve">Maximum daily system demand requirements of more than 25,000 Dth per day. </w:t>
      </w:r>
      <w:r>
        <w:rPr>
          <w:rFonts w:ascii="Times New Roman" w:hAnsi="Times New Roman"/>
          <w:b w:val="false"/>
          <w:i w:val="false"/>
          <w:color w:val="000000"/>
          <w:sz w:val="22"/>
        </w:rPr>
        <w:t>A reserve margin of 5 percent or less in excess of the maximum daily system demand requirements will be presumed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19.16(5)</w:t>
      </w:r>
      <w:r>
        <w:rPr>
          <w:rFonts w:ascii="Times New Roman" w:hAnsi="Times New Roman"/>
          <w:b w:val="false"/>
          <w:i w:val="false"/>
          <w:color w:val="000000"/>
          <w:sz w:val="22"/>
        </w:rPr>
        <w:t>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All contract services in excess of an amount needed to meet the maximum daily system demand requirements plus the reserve are presumed to be unjust and unreasonable unless a factual showing to the contrary is made during the periodic review of gas proceeding or in a proceeding specifically addressing the issue with an opportunity for an evidentiary hearing. All contract services less than an amount of the maximum daily system demand requirements plus the reserve are presumed to be just and reasonable unless a factual showing to the contrary can be made during the periodic review of gas proceeding or in a proceeding specifically addressing the issue with an opportunity for an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19.16(6)</w:t>
      </w:r>
      <w:r>
        <w:rPr>
          <w:rFonts w:ascii="Times New Roman" w:hAnsi="Times New Roman"/>
          <w:b w:val="false"/>
          <w:i w:val="false"/>
          <w:color w:val="000000"/>
          <w:sz w:val="22"/>
        </w:rPr>
        <w:t> </w:t>
      </w:r>
      <w:r>
        <w:rPr>
          <w:rFonts w:ascii="Times New Roman" w:hAnsi="Times New Roman"/>
          <w:b w:val="false"/>
          <w:i/>
          <w:color w:val="000000"/>
          <w:sz w:val="22"/>
        </w:rPr>
        <w:t xml:space="preserve">Allocation of cost of the reserve. </w:t>
      </w:r>
      <w:r>
        <w:rPr>
          <w:rFonts w:ascii="Times New Roman" w:hAnsi="Times New Roman"/>
          <w:b w:val="false"/>
          <w:i w:val="false"/>
          <w:color w:val="000000"/>
          <w:sz w:val="22"/>
        </w:rPr>
        <w:t>Fifty percent of the reserve cost shall be collected as a demand charge allocation to noncontractual firm customers. The remaining 50 percent shall be collected as a throughput charge on customers excluding transportation customers who have elected no system supply reserve.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199—19.17</w:t>
      </w:r>
      <w:r>
        <w:rPr>
          <w:rFonts w:ascii="Times New Roman" w:hAnsi="Times New Roman"/>
          <w:b/>
          <w:i w:val="false"/>
          <w:color w:val="000000"/>
          <w:sz w:val="22"/>
        </w:rPr>
        <w:t xml:space="preserve">(476) </w:t>
      </w:r>
      <w:r>
        <w:rPr>
          <w:rFonts w:ascii="Times New Roman" w:hAnsi="Times New Roman"/>
          <w:b/>
          <w:i w:val="false"/>
          <w:color w:val="000000"/>
          <w:sz w:val="22"/>
        </w:rPr>
        <w:t xml:space="preserve">Incident notification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 utility shall notify the commission immediately, or as soon as practical, of any incident involving the release of gas, failure of equipment, or interruption of facility operations, which results in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death or personal injury necessitating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Estimated property damage of $15,000 or more to the property of the utility and to others, including the cost of gas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shutdown of a liquefied natural gas (LNG)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interruption of service to 50 or more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incident considered significant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 xml:space="preserve">The utility shall notify the commission by email, as soon as practical, of any reportable incident at </w:t>
      </w:r>
      <w:hyperlink r:id="rId107">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when email is not available, by calling the commission duty officer at (515)745-2332. The person sending the email or the caller shall leave a call-back number for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and the extent of those injuries,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initial estimate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services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to the utility regarding the probable cause of the incident and extent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oral or written report required by the U.S. Department of Transportation, and the name of the person who made the oral report or prepared the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19.17(3)</w:t>
      </w:r>
      <w:r>
        <w:rPr>
          <w:rFonts w:ascii="Times New Roman" w:hAnsi="Times New Roman"/>
          <w:b w:val="false"/>
          <w:i w:val="false"/>
          <w:color w:val="000000"/>
          <w:sz w:val="22"/>
        </w:rPr>
        <w:t> </w:t>
      </w:r>
      <w:r>
        <w:rPr>
          <w:rFonts w:ascii="Times New Roman" w:hAnsi="Times New Roman"/>
          <w:b w:val="false"/>
          <w:i/>
          <w:color w:val="000000"/>
          <w:sz w:val="22"/>
        </w:rPr>
        <w:t xml:space="preserve">Written incident reports. </w:t>
      </w:r>
      <w:r>
        <w:rPr>
          <w:rFonts w:ascii="Times New Roman" w:hAnsi="Times New Roman"/>
          <w:b w:val="false"/>
          <w:i w:val="false"/>
          <w:color w:val="000000"/>
          <w:sz w:val="22"/>
        </w:rPr>
        <w:t xml:space="preserve">Within 30 days of the date of the incident, the utility shall file a written report with the commission. The report shall include the information required for telephone notice in subrule </w:t>
      </w:r>
      <w:hyperlink r:id="rId108">
        <w:r>
          <w:rPr>
            <w:rStyle w:val="Hyperlink"/>
            <w:rFonts w:ascii="Times New Roman" w:hAnsi="Times New Roman"/>
            <w:b w:val="false"/>
            <w:i w:val="false"/>
            <w:color w:val="000000"/>
            <w:sz w:val="22"/>
          </w:rPr>
          <w:t>19.17(2)</w:t>
        </w:r>
      </w:hyperlink>
      <w:r>
        <w:rPr>
          <w:rFonts w:ascii="Times New Roman" w:hAnsi="Times New Roman"/>
          <w:b w:val="false"/>
          <w:i w:val="false"/>
          <w:color w:val="000000"/>
          <w:sz w:val="22"/>
        </w:rPr>
        <w:t>, the probable cause as determined by the utility, the number and cause of any deaths or personal injuries requiring in-patient hospitalization, and a detailed description of property damage and the amount of monetary damages. If significant additional information becomes available at a later date, a supplemental report shall be filed. Copies of any written reports concerning an incident or safety-related condition filed with or submitted to the U.S. Department of Transportation or the National Transportation Safety Board shall also be provided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199—19.18</w:t>
      </w:r>
      <w:r>
        <w:rPr>
          <w:rFonts w:ascii="Times New Roman" w:hAnsi="Times New Roman"/>
          <w:b/>
          <w:i w:val="false"/>
          <w:color w:val="000000"/>
          <w:sz w:val="22"/>
        </w:rPr>
        <w:t xml:space="preserve">(476) </w:t>
      </w:r>
      <w:r>
        <w:rPr>
          <w:rFonts w:ascii="Times New Roman" w:hAnsi="Times New Roman"/>
          <w:b/>
          <w:i w:val="false"/>
          <w:color w:val="000000"/>
          <w:sz w:val="22"/>
        </w:rPr>
        <w:t xml:space="preserve">Capital infrastructure investment automatic adjustment mechanism.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19.18(1)</w:t>
      </w:r>
      <w:r>
        <w:rPr>
          <w:rFonts w:ascii="Times New Roman" w:hAnsi="Times New Roman"/>
          <w:b w:val="false"/>
          <w:i w:val="false"/>
          <w:color w:val="000000"/>
          <w:sz w:val="22"/>
        </w:rPr>
        <w:t> </w:t>
      </w:r>
      <w:r>
        <w:rPr>
          <w:rFonts w:ascii="Times New Roman" w:hAnsi="Times New Roman"/>
          <w:b w:val="false"/>
          <w:i/>
          <w:color w:val="000000"/>
          <w:sz w:val="22"/>
        </w:rPr>
        <w:t xml:space="preserve">Eligible capital infrastructure investment. </w:t>
      </w:r>
      <w:r>
        <w:rPr>
          <w:rFonts w:ascii="Times New Roman" w:hAnsi="Times New Roman"/>
          <w:b w:val="false"/>
          <w:i w:val="false"/>
          <w:color w:val="000000"/>
          <w:sz w:val="22"/>
        </w:rPr>
        <w:t>A rate-regulated natural gas utility may file for commission approval a capital infrastructure investment automatic adjustment mechanism to allow recovery of certain costs from customers. To be eligible for recovery through the capital infrastructure investment automatic adjustment mechanism, the costs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are beyond the direct control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are subject to sudden, important change in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costs are an important factor in determining the total cost of capital infrastructure investment to serve customers;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are readily, precisely, and continuously segregated in the accounts of the utility;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costs for a capital infrastructure investment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not serve to increase revenues by directly connecting the infrastructure replacement to new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in service but was not included in the gas utility’s rate base in its most recent general rate case;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Replaces or modifies existing infrastructure required by state or local government action, to meet state or federal natural gas pipeline safety regulations, or to otherwise enhance safety as approved in advance by the commission. The utility shall make an annual filing with the commission to seek advance determination of projects that meet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recovery factor. </w:t>
      </w:r>
      <w:r>
        <w:rPr>
          <w:rFonts w:ascii="Times New Roman" w:hAnsi="Times New Roman"/>
          <w:b w:val="false"/>
          <w:i w:val="false"/>
          <w:color w:val="000000"/>
          <w:sz w:val="22"/>
        </w:rPr>
        <w:t xml:space="preserve">The utility may recover a rate of return and depreciation expense associated with eligible capital infrastructure investments described in subrule </w:t>
      </w:r>
      <w:hyperlink r:id="rId109">
        <w:r>
          <w:rPr>
            <w:rStyle w:val="Hyperlink"/>
            <w:rFonts w:ascii="Times New Roman" w:hAnsi="Times New Roman"/>
            <w:b w:val="false"/>
            <w:i w:val="false"/>
            <w:color w:val="000000"/>
            <w:sz w:val="22"/>
          </w:rPr>
          <w:t>19.18(1)</w:t>
        </w:r>
      </w:hyperlink>
      <w:r>
        <w:rPr>
          <w:rFonts w:ascii="Times New Roman" w:hAnsi="Times New Roman"/>
          <w:b w:val="false"/>
          <w:i w:val="false"/>
          <w:color w:val="000000"/>
          <w:sz w:val="22"/>
        </w:rPr>
        <w:t>. The allowed rate of return shall be the approved average cost of debt from the utility’s most recent general gas or electric rate review proceeding before the commission. Depreciation expense shall be based upon the depreciation rates allowed by the commission in the utility’s most recent general gas rate review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19.18(3)</w:t>
      </w:r>
      <w:r>
        <w:rPr>
          <w:rFonts w:ascii="Times New Roman" w:hAnsi="Times New Roman"/>
          <w:b w:val="false"/>
          <w:i w:val="false"/>
          <w:color w:val="000000"/>
          <w:sz w:val="22"/>
        </w:rPr>
        <w:t> </w:t>
      </w:r>
      <w:r>
        <w:rPr>
          <w:rFonts w:ascii="Times New Roman" w:hAnsi="Times New Roman"/>
          <w:b w:val="false"/>
          <w:i/>
          <w:color w:val="000000"/>
          <w:sz w:val="22"/>
        </w:rPr>
        <w:t xml:space="preserve">Recovery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recover capital infrastructure investment costs that meet the criteria in paragraph </w:t>
      </w:r>
      <w:hyperlink r:id="rId110">
        <w:r>
          <w:rPr>
            <w:rStyle w:val="Hyperlink"/>
            <w:rFonts w:ascii="Times New Roman" w:hAnsi="Times New Roman"/>
            <w:b w:val="false"/>
            <w:i w:val="false"/>
            <w:color w:val="000000"/>
            <w:sz w:val="22"/>
          </w:rPr>
          <w:t>19.18(1)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an automatic adjustment mechanism, the utility is required to obtain prior commission approval of the automatic adjustment mechanism. The utility shall file information in support of the proposed automatic adjustment mechanism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capital infrastructure investment and the costs that are proposed to be recovered through the automatic adjustment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 costs of the capital infrastructure investment are beyond the control of the utility’s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exhibit that shows the changes in level of the costs of the capital infrastructure investment that are proposed to be recovered, both historical and projected;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why these particular capital infrastructure investment costs are an important factor in determining the total cost of capital infrastructure investment to serve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proposed recovery procedures, if different from the procedures described in paragraph </w:t>
      </w:r>
      <w:hyperlink r:id="rId111">
        <w:r>
          <w:rPr>
            <w:rStyle w:val="Hyperlink"/>
            <w:rFonts w:ascii="Times New Roman" w:hAnsi="Times New Roman"/>
            <w:b w:val="false"/>
            <w:i w:val="false"/>
            <w:color w:val="000000"/>
            <w:sz w:val="22"/>
          </w:rPr>
          <w:t>19.18(3)</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length of time that the automatic adjustment mechanism will be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Recovery of capital infrastructure investment costs that meet the requirements in paragraph </w:t>
      </w:r>
      <w:hyperlink r:id="rId112">
        <w:r>
          <w:rPr>
            <w:rStyle w:val="Hyperlink"/>
            <w:rFonts w:ascii="Times New Roman" w:hAnsi="Times New Roman"/>
            <w:b w:val="false"/>
            <w:i w:val="false"/>
            <w:color w:val="000000"/>
            <w:sz w:val="22"/>
          </w:rPr>
          <w:t>19.18(1)</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made by the utility by filing a proposed tariff with a 30-day effective date no later than April 1 of each year. Only one tariff filing to recover capital infrastructure investment costs shall be made in a 12-month period. After December 13, 2017, any recovery previously approved shall be aligned with an April 1 filing period when the utility next seeks recovery under this rule. The utility shall file information in support of the proposed automatic adjustment rates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Proof that the capital infrastructure investment is a project that was approved in advance by the commission as specified in 19.18(1)</w:t>
      </w:r>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description, and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of debt from the utility’s most recent general gas or electric rate review proceeding before the commission and the applicable depreciation rates from the utility’s most recent general gas rate review proceeding before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calculations showing the total costs that are eligible for recovery and the rates that are proposed to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supporting documentation, including but not limited to work orders and journal entries, to the commission staff or the office of consumer advocate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shall calculate the rates for the recovery of the capital infrastructure investment through the automatic adjustment mechanism over the 12-month period beginning from the effective date of the tariff, unless otherwise ordered by the commission. The calculated rate shall include a reconciliation that reconciles the actual revenue recovered through the automatic adjustment mechanism with the costs of the eligible capital infrastructure investments proposed to be recovered over the previous collection period. Unless otherwise specified in an approved tariff, the capital infrastructure investment factor shall be recovered by a fixed monthly surcharge to customers, to be determined by totaling eligible investment costs for the prior calendar year, adjusted for the reconciliation amount, then dividing the total recovery amount among customer classes based upon the utility’s most recent approved cost of service study, dividing the class recovery amounts by the number of months in the recovery period, and then dividing the assigned costs by the number of customers in each respective class. The recovery amount will be limited to annual depreciation plus a return on the undepreciated balance based on the cost of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Recovery of a return on and return of capital infrastructure investment that is eligible for recovery pursuant to an automatic adjustment mechanism, including any recoveries approved prior to December 13, 2017, shall continue until the effective date of temporary rates in a subsequent general rate proceeding or, if temporary rates are not implemented, until final rates approved by the commission in the utility’s next general rate proceeding. To continue recovery, a utility shall file a proposed tariff each year. Once temporary or final rates are effective, the automatic adjustment mechanism shall reset to zero. No more than five years of capital investment recovery, including any recoveries approved prior to December 13, 2017, shall be allowed between general rate proceedings unless otherwise approved by the commission. A utility may continue recoveries allowed under this rule until the investments are fully depreciated or until the utility’s next general rate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9831B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3453C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476.86</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476.87</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546.7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7/12/66; amended 6/27/75]</w:t>
      </w:r>
    </w:p>
    <w:p>
      <w:pPr>
        <w:spacing w:before="0" w:after="0"/>
        <w:ind w:left="120"/>
        <w:jc w:val="center"/>
      </w:pPr>
      <w:r>
        <w:rPr>
          <w:rFonts w:ascii="Times New Roman" w:hAnsi="Times New Roman"/>
          <w:b w:val="false"/>
          <w:i w:val="false"/>
          <w:color w:val="000000"/>
          <w:sz w:val="21"/>
        </w:rPr>
        <w:t>[Filed 12/30/75, Notice 10/6/75—published 1/26/76, effective 3/1/76]</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10/4/78, Notice 8/23/78—published 11/1/78, effective 12/6/78]</w:t>
      </w:r>
    </w:p>
    <w:p>
      <w:pPr>
        <w:spacing w:before="0" w:after="0"/>
        <w:ind w:left="120"/>
        <w:jc w:val="center"/>
      </w:pPr>
      <w:r>
        <w:rPr>
          <w:rFonts w:ascii="Times New Roman" w:hAnsi="Times New Roman"/>
          <w:b w:val="false"/>
          <w:i w:val="false"/>
          <w:color w:val="000000"/>
          <w:sz w:val="21"/>
        </w:rPr>
        <w:t>[Filed emergency 12/22/78—published 1/10/79, effective 12/22/78]</w:t>
      </w:r>
    </w:p>
    <w:p>
      <w:pPr>
        <w:spacing w:before="0" w:after="0"/>
        <w:ind w:left="120"/>
        <w:jc w:val="center"/>
      </w:pPr>
      <w:r>
        <w:rPr>
          <w:rFonts w:ascii="Times New Roman" w:hAnsi="Times New Roman"/>
          <w:b w:val="false"/>
          <w:i w:val="false"/>
          <w:color w:val="000000"/>
          <w:sz w:val="21"/>
        </w:rPr>
        <w:t>[Filed 4/10/79, Notice 11/1/78—published 5/2/79, effective 6/6/79]</w:t>
      </w:r>
    </w:p>
    <w:p>
      <w:pPr>
        <w:spacing w:before="0" w:after="0"/>
        <w:ind w:left="120"/>
        <w:jc w:val="center"/>
      </w:pPr>
      <w:r>
        <w:rPr>
          <w:rFonts w:ascii="Times New Roman" w:hAnsi="Times New Roman"/>
          <w:b w:val="false"/>
          <w:i w:val="false"/>
          <w:color w:val="000000"/>
          <w:sz w:val="21"/>
        </w:rPr>
        <w:t>[Filed 6/8/79, Notice 4/4/79—published 6/27/79, effective 8/1/79]</w:t>
      </w:r>
    </w:p>
    <w:p>
      <w:pPr>
        <w:spacing w:before="0" w:after="0"/>
        <w:ind w:left="120"/>
        <w:jc w:val="center"/>
      </w:pPr>
      <w:r>
        <w:rPr>
          <w:rFonts w:ascii="Times New Roman" w:hAnsi="Times New Roman"/>
          <w:b w:val="false"/>
          <w:i w:val="false"/>
          <w:color w:val="000000"/>
          <w:sz w:val="21"/>
        </w:rPr>
        <w:t>[Filed 9/24/80, Notice 7/23/80—published 10/15/80, effective 11/19/80]</w:t>
      </w:r>
    </w:p>
    <w:p>
      <w:pPr>
        <w:spacing w:before="0" w:after="0"/>
        <w:ind w:left="120"/>
        <w:jc w:val="center"/>
      </w:pPr>
      <w:r>
        <w:rPr>
          <w:rFonts w:ascii="Times New Roman" w:hAnsi="Times New Roman"/>
          <w:b w:val="false"/>
          <w:i w:val="false"/>
          <w:color w:val="000000"/>
          <w:sz w:val="21"/>
        </w:rPr>
        <w:t>[Filed 9/26/80, Notice 8/6/80—published 10/15/80, effective 11/19/80]</w:t>
      </w:r>
    </w:p>
    <w:p>
      <w:pPr>
        <w:spacing w:before="0" w:after="0"/>
        <w:ind w:left="120"/>
        <w:jc w:val="center"/>
      </w:pPr>
      <w:r>
        <w:rPr>
          <w:rFonts w:ascii="Times New Roman" w:hAnsi="Times New Roman"/>
          <w:b w:val="false"/>
          <w:i w:val="false"/>
          <w:color w:val="000000"/>
          <w:sz w:val="21"/>
        </w:rPr>
        <w:t>[Filed 6/5/81, Notice 4/15/81—published 6/24/81, effective 7/29/81]</w:t>
      </w:r>
    </w:p>
    <w:p>
      <w:pPr>
        <w:spacing w:before="0" w:after="0"/>
        <w:ind w:left="120"/>
        <w:jc w:val="center"/>
      </w:pPr>
      <w:r>
        <w:rPr>
          <w:rFonts w:ascii="Times New Roman" w:hAnsi="Times New Roman"/>
          <w:b w:val="false"/>
          <w:i w:val="false"/>
          <w:color w:val="000000"/>
          <w:sz w:val="21"/>
        </w:rPr>
        <w:t>[Filed 6/19/81, Notice 10/1/80—published 7/8/81, effective 8/12/81]</w:t>
      </w:r>
    </w:p>
    <w:p>
      <w:pPr>
        <w:spacing w:before="0" w:after="0"/>
        <w:ind w:left="120"/>
        <w:jc w:val="center"/>
      </w:pPr>
      <w:r>
        <w:rPr>
          <w:rFonts w:ascii="Times New Roman" w:hAnsi="Times New Roman"/>
          <w:b w:val="false"/>
          <w:i w:val="false"/>
          <w:color w:val="000000"/>
          <w:sz w:val="21"/>
        </w:rPr>
        <w:t>[Filed 10/20/81, Notice 11/26/80—published 11/11/81, effective 12/16/81]</w:t>
      </w:r>
    </w:p>
    <w:p>
      <w:pPr>
        <w:spacing w:before="0" w:after="0"/>
        <w:ind w:left="120"/>
        <w:jc w:val="center"/>
      </w:pPr>
      <w:r>
        <w:rPr>
          <w:rFonts w:ascii="Times New Roman" w:hAnsi="Times New Roman"/>
          <w:b w:val="false"/>
          <w:i w:val="false"/>
          <w:color w:val="000000"/>
          <w:sz w:val="21"/>
        </w:rPr>
        <w:t>[Filed emergency 11/17/81 after Notice 9/30/81—published 12/9/81, effective 11/17/81]</w:t>
      </w:r>
    </w:p>
    <w:p>
      <w:pPr>
        <w:spacing w:before="0" w:after="0"/>
        <w:ind w:left="120"/>
        <w:jc w:val="center"/>
      </w:pPr>
      <w:r>
        <w:rPr>
          <w:rFonts w:ascii="Times New Roman" w:hAnsi="Times New Roman"/>
          <w:b w:val="false"/>
          <w:i w:val="false"/>
          <w:color w:val="000000"/>
          <w:sz w:val="21"/>
        </w:rPr>
        <w:t>[Filed emergency 12/14/81—published 1/6/82, effective 12/14/81]</w:t>
      </w:r>
    </w:p>
    <w:p>
      <w:pPr>
        <w:spacing w:before="0" w:after="0"/>
        <w:ind w:left="120"/>
        <w:jc w:val="center"/>
      </w:pPr>
      <w:r>
        <w:rPr>
          <w:rFonts w:ascii="Times New Roman" w:hAnsi="Times New Roman"/>
          <w:b w:val="false"/>
          <w:i w:val="false"/>
          <w:color w:val="000000"/>
          <w:sz w:val="21"/>
        </w:rPr>
        <w:t>[Filed 1/28/82, Notice 5/27/81—published 2/17/82, effective 3/24/82]</w:t>
      </w:r>
    </w:p>
    <w:p>
      <w:pPr>
        <w:spacing w:before="0" w:after="0"/>
        <w:ind w:left="120"/>
        <w:jc w:val="center"/>
      </w:pPr>
      <w:r>
        <w:rPr>
          <w:rFonts w:ascii="Times New Roman" w:hAnsi="Times New Roman"/>
          <w:b w:val="false"/>
          <w:i w:val="false"/>
          <w:color w:val="000000"/>
          <w:sz w:val="21"/>
        </w:rPr>
        <w:t>[Filed 1/28/82, Notice 10/1/80—published 2/17/82, effective 3/31/82]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emergency 4/22/83—published 5/11/83, effective 4/22/83]</w:t>
      </w:r>
    </w:p>
    <w:p>
      <w:pPr>
        <w:spacing w:before="0" w:after="0"/>
        <w:ind w:left="120"/>
        <w:jc w:val="center"/>
      </w:pPr>
      <w:r>
        <w:rPr>
          <w:rFonts w:ascii="Times New Roman" w:hAnsi="Times New Roman"/>
          <w:b w:val="false"/>
          <w:i w:val="false"/>
          <w:color w:val="000000"/>
          <w:sz w:val="21"/>
        </w:rPr>
        <w:t>[Filed 4/15/83, Notice 1/19/83—published 5/11/83, effective 6/15/83]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7/29/83—published 8/17/83, effective 7/29/83]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9/9/83, Notice 6/8/83—published 9/28/83,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emergency 12/16/83 after Notice 9/28/83—published 1/4/84, effective 1/1/84]</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1/13/84, Notice 11/9/83—published 2/1/84, effective 3/7/84]</w:t>
      </w:r>
    </w:p>
    <w:p>
      <w:pPr>
        <w:spacing w:before="0" w:after="0"/>
        <w:ind w:left="120"/>
        <w:jc w:val="center"/>
      </w:pPr>
      <w:r>
        <w:rPr>
          <w:rFonts w:ascii="Times New Roman" w:hAnsi="Times New Roman"/>
          <w:b w:val="false"/>
          <w:i w:val="false"/>
          <w:color w:val="000000"/>
          <w:sz w:val="21"/>
        </w:rPr>
        <w:t>[Filed 1/27/84, Notice 11/23/84—published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4/20/84, Notice 2/15/84—published 5/9/84, effective 6/13/84]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5/4/84, Notice 1/4/84—published 5/23/84, effective 6/27/84]</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emergency 6/15/84—published 7/4/84, effective 6/15/84]</w:t>
      </w:r>
    </w:p>
    <w:p>
      <w:pPr>
        <w:spacing w:before="0" w:after="0"/>
        <w:ind w:left="120"/>
        <w:jc w:val="center"/>
      </w:pPr>
      <w:r>
        <w:rPr>
          <w:rFonts w:ascii="Times New Roman" w:hAnsi="Times New Roman"/>
          <w:b w:val="false"/>
          <w:i w:val="false"/>
          <w:color w:val="000000"/>
          <w:sz w:val="21"/>
        </w:rPr>
        <w:t>[Filed 8/24/84, Notice 1/18/84—published 9/12/84, effective 10/17/84]</w:t>
      </w:r>
    </w:p>
    <w:p>
      <w:pPr>
        <w:spacing w:before="0" w:after="0"/>
        <w:ind w:left="120"/>
        <w:jc w:val="center"/>
      </w:pPr>
      <w:r>
        <w:rPr>
          <w:rFonts w:ascii="Times New Roman" w:hAnsi="Times New Roman"/>
          <w:b w:val="false"/>
          <w:i w:val="false"/>
          <w:color w:val="000000"/>
          <w:sz w:val="21"/>
        </w:rPr>
        <w:t>[Filed 9/10/84, Notice 7/18/84—published 9/26/84, effective 10/31/84]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10/19/84, Notice 8/15/84—published 11/7/84, effective 12/26/84]</w:t>
      </w:r>
    </w:p>
    <w:p>
      <w:pPr>
        <w:spacing w:before="0" w:after="0"/>
        <w:ind w:left="120"/>
        <w:jc w:val="center"/>
      </w:pPr>
      <w:r>
        <w:rPr>
          <w:rFonts w:ascii="Times New Roman" w:hAnsi="Times New Roman"/>
          <w:b w:val="false"/>
          <w:i w:val="false"/>
          <w:color w:val="000000"/>
          <w:sz w:val="21"/>
        </w:rPr>
        <w:t>[Filed 1/14/85, Notice 11/7/84—published 1/30/85, effective 3/6/85]</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5/6/85, Notice 1/2/85—published 5/22/85, effective 6/26/85]</w:t>
      </w:r>
    </w:p>
    <w:p>
      <w:pPr>
        <w:spacing w:before="0" w:after="0"/>
        <w:ind w:left="120"/>
        <w:jc w:val="center"/>
      </w:pPr>
      <w:r>
        <w:rPr>
          <w:rFonts w:ascii="Times New Roman" w:hAnsi="Times New Roman"/>
          <w:b w:val="false"/>
          <w:i w:val="false"/>
          <w:color w:val="000000"/>
          <w:sz w:val="21"/>
        </w:rPr>
        <w:t>[Filed 6/14/85, Notice 4/10/85—published 7/3/85, effective 8/7/85]</w:t>
      </w:r>
    </w:p>
    <w:p>
      <w:pPr>
        <w:spacing w:before="0" w:after="0"/>
        <w:ind w:left="120"/>
        <w:jc w:val="center"/>
      </w:pPr>
      <w:r>
        <w:rPr>
          <w:rFonts w:ascii="Times New Roman" w:hAnsi="Times New Roman"/>
          <w:b w:val="false"/>
          <w:i w:val="false"/>
          <w:color w:val="000000"/>
          <w:sz w:val="21"/>
        </w:rPr>
        <w:t>[Filed 8/9/85, Notice 6/19/85—published 8/28/85, effective 10/2/85]</w:t>
      </w:r>
    </w:p>
    <w:p>
      <w:pPr>
        <w:spacing w:before="0" w:after="0"/>
        <w:ind w:left="120"/>
        <w:jc w:val="center"/>
      </w:pPr>
      <w:r>
        <w:rPr>
          <w:rFonts w:ascii="Times New Roman" w:hAnsi="Times New Roman"/>
          <w:b w:val="false"/>
          <w:i w:val="false"/>
          <w:color w:val="000000"/>
          <w:sz w:val="21"/>
        </w:rPr>
        <w:t>[Filed emergency 2/7/86 after Notices 10/9/85, 12/4/85—published 2/26/86, effective 3/31/86]</w:t>
      </w:r>
    </w:p>
    <w:p>
      <w:pPr>
        <w:spacing w:before="0" w:after="0"/>
        <w:ind w:left="120"/>
        <w:jc w:val="center"/>
      </w:pPr>
      <w:r>
        <w:rPr>
          <w:rFonts w:ascii="Times New Roman" w:hAnsi="Times New Roman"/>
          <w:b w:val="false"/>
          <w:i w:val="false"/>
          <w:color w:val="000000"/>
          <w:sz w:val="21"/>
        </w:rPr>
        <w:t>[Filed 8/8/86, Notice 5/7/86—published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 6/18/86—published 9/10/86, effective 10/15/86]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Notices 5/21/86, 6/4/86—published 9/10/86, effective 10/15/86]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4/3/87, Notices 11/5/86, 12/3/86, 2/25/87—published 4/22/87, effective 5/27/87]</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9/2/88, Notice 3/9/88—published 9/21/88, effective 10/26/88]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1/6/89, Notices 7/1/87, 1/13/88, 7/27/88—published 1/25/89, effective 3/1/89]</w:t>
      </w:r>
    </w:p>
    <w:p>
      <w:pPr>
        <w:spacing w:before="0" w:after="0"/>
        <w:ind w:left="120"/>
        <w:jc w:val="center"/>
      </w:pPr>
      <w:r>
        <w:rPr>
          <w:rFonts w:ascii="Times New Roman" w:hAnsi="Times New Roman"/>
          <w:b w:val="false"/>
          <w:i w:val="false"/>
          <w:color w:val="000000"/>
          <w:sz w:val="21"/>
        </w:rPr>
        <w:t>[Filed 3/30/89, Notice 10/19/88—published 4/19/89, effective 5/24/89]</w:t>
      </w:r>
    </w:p>
    <w:p>
      <w:pPr>
        <w:spacing w:before="0" w:after="0"/>
        <w:ind w:left="120"/>
        <w:jc w:val="center"/>
      </w:pPr>
      <w:r>
        <w:rPr>
          <w:rFonts w:ascii="Times New Roman" w:hAnsi="Times New Roman"/>
          <w:b w:val="false"/>
          <w:i w:val="false"/>
          <w:color w:val="000000"/>
          <w:sz w:val="21"/>
        </w:rPr>
        <w:t>[Filed 4/28/89, Notice 9/21/88—published 5/17/89, effective 6/21/89]</w:t>
      </w:r>
    </w:p>
    <w:p>
      <w:pPr>
        <w:spacing w:before="0" w:after="0"/>
        <w:ind w:left="120"/>
        <w:jc w:val="center"/>
      </w:pPr>
      <w:r>
        <w:rPr>
          <w:rFonts w:ascii="Times New Roman" w:hAnsi="Times New Roman"/>
          <w:b w:val="false"/>
          <w:i w:val="false"/>
          <w:color w:val="000000"/>
          <w:sz w:val="21"/>
        </w:rPr>
        <w:t>[Filed 5/24/89, Notices 5/4/88, 6/29/88, 12/14/88—published 6/14/89, effective 7/19/89]</w:t>
      </w:r>
    </w:p>
    <w:p>
      <w:pPr>
        <w:spacing w:before="0" w:after="0"/>
        <w:ind w:left="120"/>
        <w:jc w:val="center"/>
      </w:pPr>
      <w:r>
        <w:rPr>
          <w:rFonts w:ascii="Times New Roman" w:hAnsi="Times New Roman"/>
          <w:b w:val="false"/>
          <w:i w:val="false"/>
          <w:color w:val="000000"/>
          <w:sz w:val="21"/>
        </w:rPr>
        <w:t>[Filed 5/24/89, Notice 1/11/89—published 6/14/89, effective 7/19/89]</w:t>
      </w:r>
    </w:p>
    <w:p>
      <w:pPr>
        <w:spacing w:before="0" w:after="0"/>
        <w:ind w:left="120"/>
        <w:jc w:val="center"/>
      </w:pPr>
      <w:r>
        <w:rPr>
          <w:rFonts w:ascii="Times New Roman" w:hAnsi="Times New Roman"/>
          <w:b w:val="false"/>
          <w:i w:val="false"/>
          <w:color w:val="000000"/>
          <w:sz w:val="21"/>
        </w:rPr>
        <w:t>[Filed 11/27/89, Notice 9/6/89—published 12/13/89, effective 1/17/90]</w:t>
      </w:r>
    </w:p>
    <w:p>
      <w:pPr>
        <w:spacing w:before="0" w:after="0"/>
        <w:ind w:left="120"/>
        <w:jc w:val="center"/>
      </w:pPr>
      <w:r>
        <w:rPr>
          <w:rFonts w:ascii="Times New Roman" w:hAnsi="Times New Roman"/>
          <w:b w:val="false"/>
          <w:i w:val="false"/>
          <w:color w:val="000000"/>
          <w:sz w:val="21"/>
        </w:rPr>
        <w:t>[Filed 2/1/90, Notice 9/20/89—published 2/21/90, effective 3/28/90]</w:t>
      </w:r>
    </w:p>
    <w:p>
      <w:pPr>
        <w:spacing w:before="0" w:after="0"/>
        <w:ind w:left="120"/>
        <w:jc w:val="center"/>
      </w:pPr>
      <w:r>
        <w:rPr>
          <w:rFonts w:ascii="Times New Roman" w:hAnsi="Times New Roman"/>
          <w:b w:val="false"/>
          <w:i w:val="false"/>
          <w:color w:val="000000"/>
          <w:sz w:val="21"/>
        </w:rPr>
        <w:t>[Filed 2/28/90, Notice 11/1/89—published 3/21/90, effective 4/25/90]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4/13/90—published 5/2/90, effective 4/13/90]</w:t>
      </w:r>
    </w:p>
    <w:p>
      <w:pPr>
        <w:spacing w:before="0" w:after="0"/>
        <w:ind w:left="120"/>
        <w:jc w:val="center"/>
      </w:pPr>
      <w:r>
        <w:rPr>
          <w:rFonts w:ascii="Times New Roman" w:hAnsi="Times New Roman"/>
          <w:b w:val="false"/>
          <w:i w:val="false"/>
          <w:color w:val="000000"/>
          <w:sz w:val="21"/>
        </w:rPr>
        <w:t>[Filed 4/13/90, Notice 10/18/89—published 5/2/90, effective 6/6/90]</w:t>
      </w:r>
    </w:p>
    <w:p>
      <w:pPr>
        <w:spacing w:before="0" w:after="0"/>
        <w:ind w:left="120"/>
        <w:jc w:val="center"/>
      </w:pPr>
      <w:r>
        <w:rPr>
          <w:rFonts w:ascii="Times New Roman" w:hAnsi="Times New Roman"/>
          <w:b w:val="false"/>
          <w:i w:val="false"/>
          <w:color w:val="000000"/>
          <w:sz w:val="21"/>
        </w:rPr>
        <w:t>[Filed 5/11/90, Notice 10/18/89—published 5/30/90, effective 7/4/90]</w:t>
      </w:r>
    </w:p>
    <w:p>
      <w:pPr>
        <w:spacing w:before="0" w:after="0"/>
        <w:ind w:left="120"/>
        <w:jc w:val="center"/>
      </w:pPr>
      <w:r>
        <w:rPr>
          <w:rFonts w:ascii="Times New Roman" w:hAnsi="Times New Roman"/>
          <w:b w:val="false"/>
          <w:i w:val="false"/>
          <w:color w:val="000000"/>
          <w:sz w:val="21"/>
        </w:rPr>
        <w:t>[Filed 5/25/90, Notice 2/21/90—published 6/13/90, effective 7/18/90]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11/21/90, Notice 5/2/90—published 12/12/90, effective 1/16/91]</w:t>
      </w:r>
    </w:p>
    <w:p>
      <w:pPr>
        <w:spacing w:before="0" w:after="0"/>
        <w:ind w:left="120"/>
        <w:jc w:val="center"/>
      </w:pPr>
      <w:r>
        <w:rPr>
          <w:rFonts w:ascii="Times New Roman" w:hAnsi="Times New Roman"/>
          <w:b w:val="false"/>
          <w:i w:val="false"/>
          <w:color w:val="000000"/>
          <w:sz w:val="21"/>
        </w:rPr>
        <w:t>[Filed 12/21/90, Notice 6/27/90—published 1/9/91, effective 2/13/91]</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emergency 7/16/91 after Notice 6/12/91—published 8/7/91, effective 7/16/91]</w:t>
      </w:r>
    </w:p>
    <w:p>
      <w:pPr>
        <w:spacing w:before="0" w:after="0"/>
        <w:ind w:left="120"/>
        <w:jc w:val="center"/>
      </w:pPr>
      <w:r>
        <w:rPr>
          <w:rFonts w:ascii="Times New Roman" w:hAnsi="Times New Roman"/>
          <w:b w:val="false"/>
          <w:i w:val="false"/>
          <w:color w:val="000000"/>
          <w:sz w:val="21"/>
        </w:rPr>
        <w:t>[Filed emergency 8/16/91 after Notice 5/1/91—published 9/4/91, effective 10/1/91]</w:t>
      </w:r>
    </w:p>
    <w:p>
      <w:pPr>
        <w:spacing w:before="0" w:after="0"/>
        <w:ind w:left="120"/>
        <w:jc w:val="center"/>
      </w:pPr>
      <w:r>
        <w:rPr>
          <w:rFonts w:ascii="Times New Roman" w:hAnsi="Times New Roman"/>
          <w:b w:val="false"/>
          <w:i w:val="false"/>
          <w:color w:val="000000"/>
          <w:sz w:val="21"/>
        </w:rPr>
        <w:t>[Filed 3/20/92, Notice 8/7/91—published 4/15/92, effective 5/20/92]</w:t>
      </w:r>
    </w:p>
    <w:p>
      <w:pPr>
        <w:spacing w:before="0" w:after="0"/>
        <w:ind w:left="120"/>
        <w:jc w:val="center"/>
      </w:pPr>
      <w:r>
        <w:rPr>
          <w:rFonts w:ascii="Times New Roman" w:hAnsi="Times New Roman"/>
          <w:b w:val="false"/>
          <w:i w:val="false"/>
          <w:color w:val="000000"/>
          <w:sz w:val="21"/>
        </w:rPr>
        <w:t>[Filed 4/23/92, Notice 10/30/91—published 5/13/92, effective 6/17/92]</w:t>
      </w:r>
    </w:p>
    <w:p>
      <w:pPr>
        <w:spacing w:before="0" w:after="0"/>
        <w:ind w:left="120"/>
        <w:jc w:val="center"/>
      </w:pPr>
      <w:r>
        <w:rPr>
          <w:rFonts w:ascii="Times New Roman" w:hAnsi="Times New Roman"/>
          <w:b w:val="false"/>
          <w:i w:val="false"/>
          <w:color w:val="000000"/>
          <w:sz w:val="21"/>
        </w:rPr>
        <w:t>[Filed 2/12/93, Notice 9/16/92—published 3/3/93, effective 4/7/93]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emergency 7/15/94 after Notice 3/16/94—published 8/3/94, effective 8/1/94]</w:t>
      </w:r>
    </w:p>
    <w:p>
      <w:pPr>
        <w:spacing w:before="0" w:after="0"/>
        <w:ind w:left="120"/>
        <w:jc w:val="center"/>
      </w:pPr>
      <w:r>
        <w:rPr>
          <w:rFonts w:ascii="Times New Roman" w:hAnsi="Times New Roman"/>
          <w:b w:val="false"/>
          <w:i w:val="false"/>
          <w:color w:val="000000"/>
          <w:sz w:val="21"/>
        </w:rPr>
        <w:t>[Filed 4/21/95, Notice 9/28/94—published 5/10/95, effective 6/14/95]</w:t>
      </w:r>
    </w:p>
    <w:p>
      <w:pPr>
        <w:spacing w:before="0" w:after="0"/>
        <w:ind w:left="120"/>
        <w:jc w:val="center"/>
      </w:pPr>
      <w:r>
        <w:rPr>
          <w:rFonts w:ascii="Times New Roman" w:hAnsi="Times New Roman"/>
          <w:b w:val="false"/>
          <w:i w:val="false"/>
          <w:color w:val="000000"/>
          <w:sz w:val="21"/>
        </w:rPr>
        <w:t>[Filed 12/23/96, Notice 9/11/96—published 1/15/97, effective 2/19/97]</w:t>
      </w:r>
    </w:p>
    <w:p>
      <w:pPr>
        <w:spacing w:before="0" w:after="0"/>
        <w:ind w:left="120"/>
        <w:jc w:val="center"/>
      </w:pPr>
      <w:r>
        <w:rPr>
          <w:rFonts w:ascii="Times New Roman" w:hAnsi="Times New Roman"/>
          <w:b w:val="false"/>
          <w:i w:val="false"/>
          <w:color w:val="000000"/>
          <w:sz w:val="21"/>
        </w:rPr>
        <w:t>[Filed 9/4/97, Notice 3/12/97—published 9/24/97, effective 10/29/97]</w:t>
      </w:r>
    </w:p>
    <w:p>
      <w:pPr>
        <w:spacing w:before="0" w:after="0"/>
        <w:ind w:left="120"/>
        <w:jc w:val="center"/>
      </w:pPr>
      <w:r>
        <w:rPr>
          <w:rFonts w:ascii="Times New Roman" w:hAnsi="Times New Roman"/>
          <w:b w:val="false"/>
          <w:i w:val="false"/>
          <w:color w:val="000000"/>
          <w:sz w:val="21"/>
        </w:rPr>
        <w:t>[Filed 10/31/97, Notices 1/29/97, 3/12/97—published 11/19/97, effective 12/24/97]</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1/23/98, Notice 7/2/97—published 2/11/98, effective 3/18/98]</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1/21/00, Notice 11/3/99—published 2/9/00, effective 3/15/00]</w:t>
      </w:r>
    </w:p>
    <w:p>
      <w:pPr>
        <w:spacing w:before="0" w:after="0"/>
        <w:ind w:left="120"/>
        <w:jc w:val="center"/>
      </w:pPr>
      <w:r>
        <w:rPr>
          <w:rFonts w:ascii="Times New Roman" w:hAnsi="Times New Roman"/>
          <w:b w:val="false"/>
          <w:i w:val="false"/>
          <w:color w:val="000000"/>
          <w:sz w:val="21"/>
        </w:rPr>
        <w:t>[Filed 5/11/00, Notice 10/6/99—published 5/31/00, effective 7/5/00]</w:t>
      </w:r>
    </w:p>
    <w:p>
      <w:pPr>
        <w:spacing w:before="0" w:after="0"/>
        <w:ind w:left="120"/>
        <w:jc w:val="center"/>
      </w:pPr>
      <w:r>
        <w:rPr>
          <w:rFonts w:ascii="Times New Roman" w:hAnsi="Times New Roman"/>
          <w:b w:val="false"/>
          <w:i w:val="false"/>
          <w:color w:val="000000"/>
          <w:sz w:val="21"/>
        </w:rPr>
        <w:t>[Filed 1/4/01, Notices 3/8/00, 8/23/00—published 1/24/01, effective 2/28/01]</w:t>
      </w:r>
    </w:p>
    <w:p>
      <w:pPr>
        <w:spacing w:before="0" w:after="0"/>
        <w:ind w:left="120"/>
        <w:jc w:val="center"/>
      </w:pPr>
      <w:r>
        <w:rPr>
          <w:rFonts w:ascii="Times New Roman" w:hAnsi="Times New Roman"/>
          <w:b w:val="false"/>
          <w:i w:val="false"/>
          <w:color w:val="000000"/>
          <w:sz w:val="21"/>
        </w:rPr>
        <w:t>[Filed 3/1/01, Notice 7/12/00—published 3/21/01, effective 4/25/01]</w:t>
      </w:r>
    </w:p>
    <w:p>
      <w:pPr>
        <w:spacing w:before="0" w:after="0"/>
        <w:ind w:left="120"/>
        <w:jc w:val="center"/>
      </w:pPr>
      <w:r>
        <w:rPr>
          <w:rFonts w:ascii="Times New Roman" w:hAnsi="Times New Roman"/>
          <w:b w:val="false"/>
          <w:i w:val="false"/>
          <w:color w:val="000000"/>
          <w:sz w:val="21"/>
        </w:rPr>
        <w:t>[Filed emergency 3/30/01—published 4/18/01, effective 3/30/01]</w:t>
      </w:r>
    </w:p>
    <w:p>
      <w:pPr>
        <w:spacing w:before="0" w:after="0"/>
        <w:ind w:left="120"/>
        <w:jc w:val="center"/>
      </w:pPr>
      <w:r>
        <w:rPr>
          <w:rFonts w:ascii="Times New Roman" w:hAnsi="Times New Roman"/>
          <w:b w:val="false"/>
          <w:i w:val="false"/>
          <w:color w:val="000000"/>
          <w:sz w:val="21"/>
        </w:rPr>
        <w:t>[Filed 8/3/01, Notice 3/21/01—published 8/22/01, effective 11/1/01]</w:t>
      </w:r>
    </w:p>
    <w:p>
      <w:pPr>
        <w:spacing w:before="0" w:after="0"/>
        <w:ind w:left="120"/>
        <w:jc w:val="center"/>
      </w:pPr>
      <w:r>
        <w:rPr>
          <w:rFonts w:ascii="Times New Roman" w:hAnsi="Times New Roman"/>
          <w:b w:val="false"/>
          <w:i w:val="false"/>
          <w:color w:val="000000"/>
          <w:sz w:val="21"/>
        </w:rPr>
        <w:t>[Filed 9/14/01, Notice 4/18/01—published 10/3/01, effective 11/7/01]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12/27/02, Notice 7/24/02—published 1/22/03, effective 2/26/03]</w:t>
      </w:r>
    </w:p>
    <w:p>
      <w:pPr>
        <w:spacing w:before="0" w:after="0"/>
        <w:ind w:left="120"/>
        <w:jc w:val="center"/>
      </w:pPr>
      <w:r>
        <w:rPr>
          <w:rFonts w:ascii="Times New Roman" w:hAnsi="Times New Roman"/>
          <w:b w:val="false"/>
          <w:i w:val="false"/>
          <w:color w:val="000000"/>
          <w:sz w:val="21"/>
        </w:rPr>
        <w:t>[Filed 7/18/03, Notice 2/5/03—published 8/6/03, effective 9/10/03]</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[Filed 4/9/04, Notice 10/15/03—published 4/28/04, effective 6/2/04]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1/22/07, Notice 11/8/06—published 2/14/07, effective 3/21/07]</w:t>
      </w:r>
    </w:p>
    <w:p>
      <w:pPr>
        <w:spacing w:before="0" w:after="0"/>
        <w:ind w:left="120"/>
        <w:jc w:val="center"/>
      </w:pPr>
      <w:r>
        <w:rPr>
          <w:rFonts w:ascii="Times New Roman" w:hAnsi="Times New Roman"/>
          <w:b w:val="false"/>
          <w:i w:val="false"/>
          <w:color w:val="000000"/>
          <w:sz w:val="21"/>
        </w:rPr>
        <w:t>[Filed 4/4/07, Notice 9/13/06—published 4/25/07, effective 5/30/07]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7584B</w:t>
      </w:r>
      <w:r>
        <w:rPr>
          <w:rFonts w:ascii="Times New Roman" w:hAnsi="Times New Roman"/>
          <w:b w:val="false"/>
          <w:i w:val="false"/>
          <w:color w:val="000000"/>
          <w:sz w:val="21"/>
        </w:rPr>
        <w:t xml:space="preserve"> (Notice ARC 7420B, IAB 12/17/08)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9101B</w:t>
      </w:r>
      <w:r>
        <w:rPr>
          <w:rFonts w:ascii="Times New Roman" w:hAnsi="Times New Roman"/>
          <w:b w:val="false"/>
          <w:i w:val="false"/>
          <w:color w:val="000000"/>
          <w:sz w:val="21"/>
        </w:rPr>
        <w:t xml:space="preserve"> (Notice ARC 8858B, IAB 6/16/10)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9831B</w:t>
      </w:r>
      <w:r>
        <w:rPr>
          <w:rFonts w:ascii="Times New Roman" w:hAnsi="Times New Roman"/>
          <w:b w:val="false"/>
          <w:i w:val="false"/>
          <w:color w:val="000000"/>
          <w:sz w:val="21"/>
        </w:rPr>
        <w:t xml:space="preserve"> (Notice ARC 9529B, IAB 6/1/11)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3453C</w:t>
      </w:r>
      <w:r>
        <w:rPr>
          <w:rFonts w:ascii="Times New Roman" w:hAnsi="Times New Roman"/>
          <w:b w:val="false"/>
          <w:i w:val="false"/>
          <w:color w:val="000000"/>
          <w:sz w:val="21"/>
        </w:rPr>
        <w:t xml:space="preserve"> (Notice ARC 2956C, IAB 3/1/17)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4380C</w:t>
      </w:r>
      <w:r>
        <w:rPr>
          <w:rFonts w:ascii="Times New Roman" w:hAnsi="Times New Roman"/>
          <w:b w:val="false"/>
          <w:i w:val="false"/>
          <w:color w:val="000000"/>
          <w:sz w:val="21"/>
        </w:rPr>
        <w:t xml:space="preserve"> (Notice ARC 4173C, IAB 12/19/18)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6044C</w:t>
      </w:r>
      <w:r>
        <w:rPr>
          <w:rFonts w:ascii="Times New Roman" w:hAnsi="Times New Roman"/>
          <w:b w:val="false"/>
          <w:i w:val="false"/>
          <w:color w:val="000000"/>
          <w:sz w:val="21"/>
        </w:rPr>
        <w:t xml:space="preserve"> (Notice ARC 5744C,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19.3(10)</w:t>
      </w:r>
      <w:r>
        <w:rPr>
          <w:rFonts w:ascii="Times New Roman" w:hAnsi="Times New Roman"/>
          <w:b w:val="false"/>
          <w:i/>
          <w:color w:val="000000"/>
          <w:sz w:val="22"/>
        </w:rPr>
        <w:t>“a,” “b,”</w:t>
      </w:r>
      <w:r>
        <w:rPr>
          <w:rFonts w:ascii="Times New Roman" w:hAnsi="Times New Roman"/>
          <w:b w:val="false"/>
          <w:i w:val="false"/>
          <w:color w:val="000000"/>
          <w:sz w:val="22"/>
        </w:rPr>
        <w:t>(1), (2), (2)“1,” (3) and (4)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19.4(11), third unnumbered paragraph,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See IAB, Utilities Division</w:t>
      </w:r>
    </w:p>
    <w:p>
      <w:pPr>
        <w:pBdr>
          <w:bottom w:space="2"/>
        </w:pBdr>
        <w:spacing w:before="0" w:after="0"/>
        <w:ind w:left="120"/>
        <w:jc w:val="both"/>
      </w:pPr>
      <w:r>
        <w:rPr>
          <w:rFonts w:ascii="Times New Roman" w:hAnsi="Times New Roman"/>
          <w:b w:val="false"/>
          <w:i w:val="false"/>
          <w:color w:val="000000"/>
          <w:sz w:val="22"/>
        </w:rPr>
        <w:t>Published in Notice portion of IAB 9/10/86; See IAB 10/22/86</w:t>
      </w:r>
    </w:p>
    <w:p>
      <w:pPr>
        <w:pBdr>
          <w:bottom w:space="2"/>
        </w:pBdr>
        <w:spacing w:before="0" w:after="0"/>
        <w:ind w:left="120"/>
        <w:jc w:val="both"/>
      </w:pPr>
      <w:r>
        <w:rPr>
          <w:rFonts w:ascii="Times New Roman" w:hAnsi="Times New Roman"/>
          <w:b w:val="false"/>
          <w:i w:val="false"/>
          <w:color w:val="000000"/>
          <w:sz w:val="22"/>
        </w:rPr>
        <w:t xml:space="preserve">Effective date of 19.4(3) delayed until the adjournment of the 1994 Session of the General Assembly pursuant to Iowa Code section </w:t>
      </w:r>
      <w:hyperlink r:id="rId123">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9.pdf" Type="http://schemas.openxmlformats.org/officeDocument/2006/relationships/hyperlink" Id="rId6"/>
    <Relationship TargetMode="External" Target="https://www.legis.iowa.gov/docs/ico/chapter/476.1B.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ac/rule/199.1.3.pdf" Type="http://schemas.openxmlformats.org/officeDocument/2006/relationships/hyperlink" Id="rId9"/>
    <Relationship TargetMode="External" Target="https://www.legis.iowa.gov/docs/iac/rule/199.19.7.pdf" Type="http://schemas.openxmlformats.org/officeDocument/2006/relationships/hyperlink" Id="rId10"/>
    <Relationship TargetMode="External" Target="https://www.legis.iowa.gov/docs/iac/rule/199.19.2.pdf" Type="http://schemas.openxmlformats.org/officeDocument/2006/relationships/hyperlink" Id="rId11"/>
    <Relationship TargetMode="External" Target="https://www.legis.iowa.gov/docs/iac/rule/199.19.10.pdf" Type="http://schemas.openxmlformats.org/officeDocument/2006/relationships/hyperlink" Id="rId12"/>
    <Relationship TargetMode="External" Target="https://www.legis.iowa.gov/docs/ico/chapter/476.pdf" Type="http://schemas.openxmlformats.org/officeDocument/2006/relationships/hyperlink" Id="rId13"/>
    <Relationship TargetMode="External" Target="https://www.legis.iowa.gov/docs/iac/chapter/199.18.pdf" Type="http://schemas.openxmlformats.org/officeDocument/2006/relationships/hyperlink" Id="rId14"/>
    <Relationship TargetMode="External" Target="https://www.legis.iowa.gov/docs/ico/chapter/476.pdf" Type="http://schemas.openxmlformats.org/officeDocument/2006/relationships/hyperlink" Id="rId15"/>
    <Relationship TargetMode="External" Target="https://www.legis.iowa.gov/docs/iac/rule/199.19.11.pdf" Type="http://schemas.openxmlformats.org/officeDocument/2006/relationships/hyperlink" Id="rId16"/>
    <Relationship TargetMode="External" Target="https://www.legis.iowa.gov/docs/iac/rule/199.19.10.pdf" Type="http://schemas.openxmlformats.org/officeDocument/2006/relationships/hyperlink" Id="rId17"/>
    <Relationship TargetMode="External" Target="https://www.legis.iowa.gov/docs/ico/chapter/476.3.pdf" Type="http://schemas.openxmlformats.org/officeDocument/2006/relationships/hyperlink" Id="rId18"/>
    <Relationship TargetMode="External" Target="https://www.legis.iowa.gov/docs/ico/chapter/476.6.pdf" Type="http://schemas.openxmlformats.org/officeDocument/2006/relationships/hyperlink" Id="rId19"/>
    <Relationship TargetMode="External" Target="https://www.legis.iowa.gov/docs/ico/chapter/476.pdf" Type="http://schemas.openxmlformats.org/officeDocument/2006/relationships/hyperlink" Id="rId20"/>
    <Relationship TargetMode="External" Target="https://www.legis.iowa.gov/docs/iac/rule/199.19.3.pdf" Type="http://schemas.openxmlformats.org/officeDocument/2006/relationships/hyperlink" Id="rId21"/>
    <Relationship TargetMode="External" Target="https://www.legis.iowa.gov/docs/iac/rule/199.19.7.pdf" Type="http://schemas.openxmlformats.org/officeDocument/2006/relationships/hyperlink" Id="rId22"/>
    <Relationship TargetMode="External" Target="https://www.legis.iowa.gov/docs/iac/rule/199.19.7.pdf" Type="http://schemas.openxmlformats.org/officeDocument/2006/relationships/hyperlink" Id="rId23"/>
    <Relationship TargetMode="External" Target="https://www.legis.iowa.gov/docs/iac/rule/199.23.1.pdf" Type="http://schemas.openxmlformats.org/officeDocument/2006/relationships/hyperlink" Id="rId24"/>
    <Relationship TargetMode="External" Target="https://www.legis.iowa.gov/docs/ico/chapter/476.2.pdf" Type="http://schemas.openxmlformats.org/officeDocument/2006/relationships/hyperlink" Id="rId25"/>
    <Relationship TargetMode="External" Target="https://www.legis.iowa.gov/docs/iac/rule/199.19.3.pdf" Type="http://schemas.openxmlformats.org/officeDocument/2006/relationships/hyperlink" Id="rId26"/>
    <Relationship TargetMode="External" Target="https://www.legis.iowa.gov/docs/iac/rule/199.19.6.pdf" Type="http://schemas.openxmlformats.org/officeDocument/2006/relationships/hyperlink" Id="rId27"/>
    <Relationship TargetMode="External" Target="https://www.legis.iowa.gov/docs/iac/rule/199.1.3.pdf" Type="http://schemas.openxmlformats.org/officeDocument/2006/relationships/hyperlink" Id="rId28"/>
    <Relationship TargetMode="External" Target="https://www.legis.iowa.gov/docs/ico/chapter/476.8.pdf" Type="http://schemas.openxmlformats.org/officeDocument/2006/relationships/hyperlink" Id="rId29"/>
    <Relationship TargetMode="External" Target="mailto: customer@iuc.iowa.gov" Type="http://schemas.openxmlformats.org/officeDocument/2006/relationships/hyperlink" Id="rId30"/>
    <Relationship TargetMode="External" Target="mailto: customer@iuc.iowa.gov" Type="http://schemas.openxmlformats.org/officeDocument/2006/relationships/hyperlink" Id="rId31"/>
    <Relationship TargetMode="External" Target="https://www.legis.iowa.gov/docs/iac/rule/199.19.3.pdf" Type="http://schemas.openxmlformats.org/officeDocument/2006/relationships/hyperlink" Id="rId32"/>
    <Relationship TargetMode="External" Target="https://www.legis.iowa.gov/docs/ico/chapter/556.4.pdf" Type="http://schemas.openxmlformats.org/officeDocument/2006/relationships/hyperlink" Id="rId33"/>
    <Relationship TargetMode="External" Target="https://www.legis.iowa.gov/docs/ico/chapter/556.11.pdf" Type="http://schemas.openxmlformats.org/officeDocument/2006/relationships/hyperlink" Id="rId34"/>
    <Relationship TargetMode="External" Target="https://www.legis.iowa.gov/docs/iac/rule/199.19.3.pdf" Type="http://schemas.openxmlformats.org/officeDocument/2006/relationships/hyperlink" Id="rId35"/>
    <Relationship TargetMode="External" Target="https://www.legis.iowa.gov/docs/iac/rule/199.19.1.pdf" Type="http://schemas.openxmlformats.org/officeDocument/2006/relationships/hyperlink" Id="rId36"/>
    <Relationship TargetMode="External" Target="https://www.legis.iowa.gov/docs/iac/rule/199.19.4.pdf" Type="http://schemas.openxmlformats.org/officeDocument/2006/relationships/hyperlink" Id="rId37"/>
    <Relationship TargetMode="External" Target="https://www.legis.iowa.gov/docs/iac/rule/199.19.3.pdf" Type="http://schemas.openxmlformats.org/officeDocument/2006/relationships/hyperlink" Id="rId38"/>
    <Relationship TargetMode="External" Target="https://www.legis.iowa.gov/docs/iac/rule/199.19.4.pdf" Type="http://schemas.openxmlformats.org/officeDocument/2006/relationships/hyperlink" Id="rId39"/>
    <Relationship TargetMode="External" Target="https://www.legis.iowa.gov/docs/iac/rule/199.19.4.pdf" Type="http://schemas.openxmlformats.org/officeDocument/2006/relationships/hyperlink" Id="rId40"/>
    <Relationship TargetMode="External" Target="https://www.legis.iowa.gov/docs/iac/rule/199.19.3.pdf" Type="http://schemas.openxmlformats.org/officeDocument/2006/relationships/hyperlink" Id="rId41"/>
    <Relationship TargetMode="External" Target="https://www.legis.iowa.gov/docs/ico/chapter/476.1.pdf" Type="http://schemas.openxmlformats.org/officeDocument/2006/relationships/hyperlink" Id="rId42"/>
    <Relationship TargetMode="External" Target="http://humanrights.iowa.gov/dcaa/where-apply" Type="http://schemas.openxmlformats.org/officeDocument/2006/relationships/hyperlink" Id="rId43"/>
    <Relationship TargetMode="External" Target="https://www.legis.iowa.gov/docs/iac/chapter/199.6.pdf" Type="http://schemas.openxmlformats.org/officeDocument/2006/relationships/hyperlink" Id="rId44"/>
    <Relationship TargetMode="External" Target="https://www.legis.iowa.gov/docs/iac/rule/199.19.4.pdf" Type="http://schemas.openxmlformats.org/officeDocument/2006/relationships/hyperlink" Id="rId45"/>
    <Relationship TargetMode="External" Target="https://www.legis.iowa.gov/docs/ico/chapter/476.20.pdf" Type="http://schemas.openxmlformats.org/officeDocument/2006/relationships/hyperlink" Id="rId46"/>
    <Relationship TargetMode="External" Target="https://www.legis.iowa.gov/docs/ico/chapter/29A.90.pdf" Type="http://schemas.openxmlformats.org/officeDocument/2006/relationships/hyperlink" Id="rId47"/>
    <Relationship TargetMode="External" Target="https://www.legis.iowa.gov/docs/iac/rule/199.19.4.pdf" Type="http://schemas.openxmlformats.org/officeDocument/2006/relationships/hyperlink" Id="rId48"/>
    <Relationship TargetMode="External" Target="https://www.legis.iowa.gov/docs/ico/chapter/476.20.pdf" Type="http://schemas.openxmlformats.org/officeDocument/2006/relationships/hyperlink" Id="rId49"/>
    <Relationship TargetMode="External" Target="https://www.legis.iowa.gov/docs/ico/chapter/29A.90.pdf" Type="http://schemas.openxmlformats.org/officeDocument/2006/relationships/hyperlink" Id="rId50"/>
    <Relationship TargetMode="External" Target="https://www.legis.iowa.gov/docs/iac/rule/199.19.7.pdf" Type="http://schemas.openxmlformats.org/officeDocument/2006/relationships/hyperlink" Id="rId51"/>
    <Relationship TargetMode="External" Target="https://www.legis.iowa.gov/docs/iac/rule/199.19.7.pdf" Type="http://schemas.openxmlformats.org/officeDocument/2006/relationships/hyperlink" Id="rId52"/>
    <Relationship TargetMode="External" Target="https://www.legis.iowa.gov/docs/ico/chapter/476.2.pdf" Type="http://schemas.openxmlformats.org/officeDocument/2006/relationships/hyperlink" Id="rId53"/>
    <Relationship TargetMode="External" Target="https://www.legis.iowa.gov/docs/ico/chapter/476.6.pdf" Type="http://schemas.openxmlformats.org/officeDocument/2006/relationships/hyperlink" Id="rId54"/>
    <Relationship TargetMode="External" Target="https://www.legis.iowa.gov/docs/ico/chapter/476.8.pdf" Type="http://schemas.openxmlformats.org/officeDocument/2006/relationships/hyperlink" Id="rId55"/>
    <Relationship TargetMode="External" Target="https://www.legis.iowa.gov/docs/ico/chapter/476.20.pdf" Type="http://schemas.openxmlformats.org/officeDocument/2006/relationships/hyperlink" Id="rId56"/>
    <Relationship TargetMode="External" Target="https://www.legis.iowa.gov/docs/ico/chapter/476.54.pdf" Type="http://schemas.openxmlformats.org/officeDocument/2006/relationships/hyperlink" Id="rId57"/>
    <Relationship TargetMode="External" Target="https://www.legis.iowa.gov/docs/iac/rule/199.42.7.pdf" Type="http://schemas.openxmlformats.org/officeDocument/2006/relationships/hyperlink" Id="rId58"/>
    <Relationship TargetMode="External" Target="https://www.legis.iowa.gov/docs/iac/rule/199.19.6.pdf" Type="http://schemas.openxmlformats.org/officeDocument/2006/relationships/hyperlink" Id="rId59"/>
    <Relationship TargetMode="External" Target="https://www.legis.iowa.gov/docs/iac/rule/199.19.6.pdf" Type="http://schemas.openxmlformats.org/officeDocument/2006/relationships/hyperlink" Id="rId60"/>
    <Relationship TargetMode="External" Target="https://www.legis.iowa.gov/docs/iac/rule/199.19.4.pdf" Type="http://schemas.openxmlformats.org/officeDocument/2006/relationships/hyperlink" Id="rId61"/>
    <Relationship TargetMode="External" Target="https://www.legis.iowa.gov/docs/iac/rule/199.19.17.pdf" Type="http://schemas.openxmlformats.org/officeDocument/2006/relationships/hyperlink" Id="rId62"/>
    <Relationship TargetMode="External" Target="https://www.legis.iowa.gov/docs/iac/rule/199.19.5.pdf" Type="http://schemas.openxmlformats.org/officeDocument/2006/relationships/hyperlink" Id="rId63"/>
    <Relationship TargetMode="External" Target="https://www.legis.iowa.gov/docs/iac/rule/199.19.5.pdf" Type="http://schemas.openxmlformats.org/officeDocument/2006/relationships/hyperlink" Id="rId64"/>
    <Relationship TargetMode="External" Target="https://www.legis.iowa.gov/docs/ico/chapter/476.6.pdf" Type="http://schemas.openxmlformats.org/officeDocument/2006/relationships/hyperlink" Id="rId65"/>
    <Relationship TargetMode="External" Target="https://www.legis.iowa.gov/docs/iac/rule/199.19.10.pdf" Type="http://schemas.openxmlformats.org/officeDocument/2006/relationships/hyperlink" Id="rId66"/>
    <Relationship TargetMode="External" Target="https://www.legis.iowa.gov/docs/iac/rule/199.19.10.pdf" Type="http://schemas.openxmlformats.org/officeDocument/2006/relationships/hyperlink" Id="rId67"/>
    <Relationship TargetMode="External" Target="https://www.legis.iowa.gov/docs/iac/rule/199.19.10.pdf" Type="http://schemas.openxmlformats.org/officeDocument/2006/relationships/hyperlink" Id="rId68"/>
    <Relationship TargetMode="External" Target="https://www.legis.iowa.gov/docs/iac/rule/199.19.10.pdf" Type="http://schemas.openxmlformats.org/officeDocument/2006/relationships/hyperlink" Id="rId69"/>
    <Relationship TargetMode="External" Target="https://www.legis.iowa.gov/docs/iac/rule/199.19.10.pdf" Type="http://schemas.openxmlformats.org/officeDocument/2006/relationships/hyperlink" Id="rId70"/>
    <Relationship TargetMode="External" Target="https://www.legis.iowa.gov/docs/iac/rule/199.19.10.pdf" Type="http://schemas.openxmlformats.org/officeDocument/2006/relationships/hyperlink" Id="rId71"/>
    <Relationship TargetMode="External" Target="https://www.legis.iowa.gov/docs/iac/rule/199.19.10.pdf" Type="http://schemas.openxmlformats.org/officeDocument/2006/relationships/hyperlink" Id="rId72"/>
    <Relationship TargetMode="External" Target="https://www.legis.iowa.gov/docs/iac/rule/199.19.10.pdf" Type="http://schemas.openxmlformats.org/officeDocument/2006/relationships/hyperlink" Id="rId73"/>
    <Relationship TargetMode="External" Target="https://www.legis.iowa.gov/docs/ico/chapter/476.6.pdf" Type="http://schemas.openxmlformats.org/officeDocument/2006/relationships/hyperlink" Id="rId74"/>
    <Relationship TargetMode="External" Target="https://www.legis.iowa.gov/docs/ico/chapter/476.6.pdf" Type="http://schemas.openxmlformats.org/officeDocument/2006/relationships/hyperlink" Id="rId75"/>
    <Relationship TargetMode="External" Target="https://www.legis.iowa.gov/docs/ico/chapter/476.6.pdf" Type="http://schemas.openxmlformats.org/officeDocument/2006/relationships/hyperlink" Id="rId76"/>
    <Relationship TargetMode="External" Target="https://www.legis.iowa.gov/docs/iac/rule/199.19.14.pdf" Type="http://schemas.openxmlformats.org/officeDocument/2006/relationships/hyperlink" Id="rId77"/>
    <Relationship TargetMode="External" Target="https://www.legis.iowa.gov/docs/ico/chapter/476.86.pdf" Type="http://schemas.openxmlformats.org/officeDocument/2006/relationships/hyperlink" Id="rId78"/>
    <Relationship TargetMode="External" Target="https://www.legis.iowa.gov/docs/ico/chapter/476.pdf" Type="http://schemas.openxmlformats.org/officeDocument/2006/relationships/hyperlink" Id="rId79"/>
    <Relationship TargetMode="External" Target="https://www.legis.iowa.gov/docs/ico/chapter/437A.3.pdf" Type="http://schemas.openxmlformats.org/officeDocument/2006/relationships/hyperlink" Id="rId80"/>
    <Relationship TargetMode="External" Target="https://www.legis.iowa.gov/docs/iac/rule/199.19.14.pdf" Type="http://schemas.openxmlformats.org/officeDocument/2006/relationships/hyperlink" Id="rId81"/>
    <Relationship TargetMode="External" Target="https://www.legis.iowa.gov/docs/ico/chapter/476.86.pdf" Type="http://schemas.openxmlformats.org/officeDocument/2006/relationships/hyperlink" Id="rId82"/>
    <Relationship TargetMode="External" Target="https://www.legis.iowa.gov/docs/ico/chapter/476.87.pdf" Type="http://schemas.openxmlformats.org/officeDocument/2006/relationships/hyperlink" Id="rId83"/>
    <Relationship TargetMode="External" Target="http://efs.iowa.gov" Type="http://schemas.openxmlformats.org/officeDocument/2006/relationships/hyperlink" Id="rId84"/>
    <Relationship TargetMode="External" Target="http:// iuc.iowa.gov" Type="http://schemas.openxmlformats.org/officeDocument/2006/relationships/hyperlink" Id="rId85"/>
    <Relationship TargetMode="External" Target="https://www.legis.iowa.gov/docs/iac/chapter/199.17.pdf" Type="http://schemas.openxmlformats.org/officeDocument/2006/relationships/hyperlink" Id="rId86"/>
    <Relationship TargetMode="External" Target="https://www.legis.iowa.gov/docs/ico/chapter/476.87.pdf" Type="http://schemas.openxmlformats.org/officeDocument/2006/relationships/hyperlink" Id="rId87"/>
    <Relationship TargetMode="External" Target="https://www.legis.iowa.gov/docs/ico/chapter/476.86.pdf" Type="http://schemas.openxmlformats.org/officeDocument/2006/relationships/hyperlink" Id="rId88"/>
    <Relationship TargetMode="External" Target="https://www.legis.iowa.gov/docs/ico/chapter/476.87.pdf" Type="http://schemas.openxmlformats.org/officeDocument/2006/relationships/hyperlink" Id="rId89"/>
    <Relationship TargetMode="External" Target="http:// iuc.iowa.gov" Type="http://schemas.openxmlformats.org/officeDocument/2006/relationships/hyperlink" Id="rId90"/>
    <Relationship TargetMode="External" Target="https://www.legis.iowa.gov/docs/iac/rule/199.19.14.pdf" Type="http://schemas.openxmlformats.org/officeDocument/2006/relationships/hyperlink" Id="rId91"/>
    <Relationship TargetMode="External" Target="https://www.legis.iowa.gov/docs/iac/rule/199.19.14.pdf" Type="http://schemas.openxmlformats.org/officeDocument/2006/relationships/hyperlink" Id="rId92"/>
    <Relationship TargetMode="External" Target="https://www.legis.iowa.gov/docs/iac/rule/199.1.9.pdf" Type="http://schemas.openxmlformats.org/officeDocument/2006/relationships/hyperlink" Id="rId93"/>
    <Relationship TargetMode="External" Target="http:// iuc.iowa.gov" Type="http://schemas.openxmlformats.org/officeDocument/2006/relationships/hyperlink" Id="rId94"/>
    <Relationship TargetMode="External" Target="https://www.legis.iowa.gov/docs/iac/rule/199.1.9.pdf" Type="http://schemas.openxmlformats.org/officeDocument/2006/relationships/hyperlink" Id="rId95"/>
    <Relationship TargetMode="External" Target="https://www.legis.iowa.gov/docs/iac/rule/199.19.14.pdf" Type="http://schemas.openxmlformats.org/officeDocument/2006/relationships/hyperlink" Id="rId96"/>
    <Relationship TargetMode="External" Target="https://www.legis.iowa.gov/docs/iac/rule/199.19.4.pdf" Type="http://schemas.openxmlformats.org/officeDocument/2006/relationships/hyperlink" Id="rId97"/>
    <Relationship TargetMode="External" Target="https://www.legis.iowa.gov/docs/iac/rule/199.19.4.pdf" Type="http://schemas.openxmlformats.org/officeDocument/2006/relationships/hyperlink" Id="rId98"/>
    <Relationship TargetMode="External" Target="https://www.legis.iowa.gov/docs/iac/rule/199.19.4.pdf" Type="http://schemas.openxmlformats.org/officeDocument/2006/relationships/hyperlink" Id="rId99"/>
    <Relationship TargetMode="External" Target="https://www.legis.iowa.gov/docs/iac/rule/199.19.4.pdf" Type="http://schemas.openxmlformats.org/officeDocument/2006/relationships/hyperlink" Id="rId100"/>
    <Relationship TargetMode="External" Target="https://www.legis.iowa.gov/docs/iac/rule/199.19.4.pdf" Type="http://schemas.openxmlformats.org/officeDocument/2006/relationships/hyperlink" Id="rId101"/>
    <Relationship TargetMode="External" Target="https://www.legis.iowa.gov/docs/iac/rule/199.19.4.pdf" Type="http://schemas.openxmlformats.org/officeDocument/2006/relationships/hyperlink" Id="rId102"/>
    <Relationship TargetMode="External" Target="https://www.legis.iowa.gov/docs/ico/chapter/476.1.pdf" Type="http://schemas.openxmlformats.org/officeDocument/2006/relationships/hyperlink" Id="rId103"/>
    <Relationship TargetMode="External" Target="https://www.legis.iowa.gov/docs/ico/chapter/476.1B.pdf" Type="http://schemas.openxmlformats.org/officeDocument/2006/relationships/hyperlink" Id="rId104"/>
    <Relationship TargetMode="External" Target="https://www.legis.iowa.gov/docs/ico/chapter/476.66.pdf" Type="http://schemas.openxmlformats.org/officeDocument/2006/relationships/hyperlink" Id="rId105"/>
    <Relationship TargetMode="External" Target="https://www.legis.iowa.gov/docs/iac/rule/199.19.10.pdf" Type="http://schemas.openxmlformats.org/officeDocument/2006/relationships/hyperlink" Id="rId106"/>
    <Relationship TargetMode="External" Target="mailto: dutyofficer@iuc.iowa.gov" Type="http://schemas.openxmlformats.org/officeDocument/2006/relationships/hyperlink" Id="rId107"/>
    <Relationship TargetMode="External" Target="https://www.legis.iowa.gov/docs/iac/rule/199.19.17.pdf" Type="http://schemas.openxmlformats.org/officeDocument/2006/relationships/hyperlink" Id="rId108"/>
    <Relationship TargetMode="External" Target="https://www.legis.iowa.gov/docs/iac/rule/199.19.18.pdf" Type="http://schemas.openxmlformats.org/officeDocument/2006/relationships/hyperlink" Id="rId109"/>
    <Relationship TargetMode="External" Target="https://www.legis.iowa.gov/docs/iac/rule/199.19.18.pdf" Type="http://schemas.openxmlformats.org/officeDocument/2006/relationships/hyperlink" Id="rId110"/>
    <Relationship TargetMode="External" Target="https://www.legis.iowa.gov/docs/iac/rule/199.19.18.pdf" Type="http://schemas.openxmlformats.org/officeDocument/2006/relationships/hyperlink" Id="rId111"/>
    <Relationship TargetMode="External" Target="https://www.legis.iowa.gov/docs/iac/rule/199.19.18.pdf" Type="http://schemas.openxmlformats.org/officeDocument/2006/relationships/hyperlink" Id="rId112"/>
    <Relationship TargetMode="External" Target="https://www.legis.iowa.gov/docs/ico/chapter/476.1.pdf" Type="http://schemas.openxmlformats.org/officeDocument/2006/relationships/hyperlink" Id="rId113"/>
    <Relationship TargetMode="External" Target="https://www.legis.iowa.gov/docs/ico/chapter/476.2.pdf" Type="http://schemas.openxmlformats.org/officeDocument/2006/relationships/hyperlink" Id="rId114"/>
    <Relationship TargetMode="External" Target="https://www.legis.iowa.gov/docs/ico/chapter/476.6.pdf" Type="http://schemas.openxmlformats.org/officeDocument/2006/relationships/hyperlink" Id="rId115"/>
    <Relationship TargetMode="External" Target="https://www.legis.iowa.gov/docs/ico/chapter/476.8.pdf" Type="http://schemas.openxmlformats.org/officeDocument/2006/relationships/hyperlink" Id="rId116"/>
    <Relationship TargetMode="External" Target="https://www.legis.iowa.gov/docs/ico/chapter/476.20.pdf" Type="http://schemas.openxmlformats.org/officeDocument/2006/relationships/hyperlink" Id="rId117"/>
    <Relationship TargetMode="External" Target="https://www.legis.iowa.gov/docs/ico/chapter/476.54.pdf" Type="http://schemas.openxmlformats.org/officeDocument/2006/relationships/hyperlink" Id="rId118"/>
    <Relationship TargetMode="External" Target="https://www.legis.iowa.gov/docs/ico/chapter/476.66.pdf" Type="http://schemas.openxmlformats.org/officeDocument/2006/relationships/hyperlink" Id="rId119"/>
    <Relationship TargetMode="External" Target="https://www.legis.iowa.gov/docs/ico/chapter/476.86.pdf" Type="http://schemas.openxmlformats.org/officeDocument/2006/relationships/hyperlink" Id="rId120"/>
    <Relationship TargetMode="External" Target="https://www.legis.iowa.gov/docs/ico/chapter/476.87.pdf" Type="http://schemas.openxmlformats.org/officeDocument/2006/relationships/hyperlink" Id="rId121"/>
    <Relationship TargetMode="External" Target="https://www.legis.iowa.gov/docs/ico/chapter/546.7.pdf" Type="http://schemas.openxmlformats.org/officeDocument/2006/relationships/hyperlink" Id="rId122"/>
    <Relationship TargetMode="External" Target="https://www.legis.iowa.gov/docs/ico/chapter/17A.8.pdf" Type="http://schemas.openxmlformats.org/officeDocument/2006/relationships/hyperlink" Id="rId1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