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UTILITIES AND</w:t>
      </w:r>
      <w:r>
        <w:br/>
      </w:r>
      <w:r>
        <w:rPr>
          <w:rFonts w:ascii="Times New Roman" w:hAnsi="Times New Roman"/>
          <w:b w:val="false"/>
          <w:i/>
          <w:color w:val="000000"/>
          <w:sz w:val="16"/>
        </w:rPr>
        <w:t>TRANSPORTATION DIVISIONS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COGENERATION AND SMALL POWER PRODUCTION</w:t>
      </w:r>
    </w:p>
    <w:p>
      <w:pPr>
        <w:spacing w:before="0" w:after="0"/>
        <w:ind w:left="120"/>
        <w:jc w:val="center"/>
      </w:pPr>
      <w:r>
        <w:rPr>
          <w:rFonts w:ascii="Times New Roman" w:hAnsi="Times New Roman"/>
          <w:b w:val="false"/>
          <w:i w:val="false"/>
          <w:color w:val="000000"/>
          <w:sz w:val="14"/>
        </w:rPr>
        <w:t>[Ch 15 renumbered as Ch 7,10/20/75]</w:t>
      </w:r>
    </w:p>
    <w:p>
      <w:pPr>
        <w:spacing w:before="0" w:after="0"/>
        <w:ind w:left="120"/>
        <w:jc w:val="center"/>
      </w:pPr>
      <w:r>
        <w:rPr>
          <w:rFonts w:ascii="Times New Roman" w:hAnsi="Times New Roman"/>
          <w:b w:val="false"/>
          <w:i w:val="false"/>
          <w:color w:val="000000"/>
          <w:sz w:val="14"/>
        </w:rPr>
        <w:t>[Prior to 10/8/86,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199—15.1</w:t>
      </w:r>
      <w:r>
        <w:rPr>
          <w:rFonts w:ascii="Times New Roman" w:hAnsi="Times New Roman"/>
          <w:b/>
          <w:i w:val="false"/>
          <w:color w:val="000000"/>
          <w:sz w:val="22"/>
        </w:rPr>
        <w:t xml:space="preserve">(476) </w:t>
      </w:r>
      <w:r>
        <w:rPr>
          <w:rFonts w:ascii="Times New Roman" w:hAnsi="Times New Roman"/>
          <w:b/>
          <w:i w:val="false"/>
          <w:color w:val="000000"/>
          <w:sz w:val="22"/>
        </w:rPr>
        <w:t xml:space="preserve">Definitions. </w:t>
      </w:r>
      <w:r>
        <w:rPr>
          <w:rFonts w:ascii="Times New Roman" w:hAnsi="Times New Roman"/>
          <w:b w:val="false"/>
          <w:i w:val="false"/>
          <w:color w:val="000000"/>
          <w:sz w:val="22"/>
        </w:rPr>
        <w:t>Terms defined in the Public Utility Regulatory Policies Act of 1978 (PURPA), 16 U.S.C. 2601, et seq., shall have the same meaning for purposes of these rules as they have under PURPA, unless further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“AEP facility” </w:t>
      </w:r>
      <w:r>
        <w:rPr>
          <w:rFonts w:ascii="Times New Roman" w:hAnsi="Times New Roman"/>
          <w:b w:val="false"/>
          <w:i w:val="false"/>
          <w:color w:val="000000"/>
          <w:sz w:val="22"/>
        </w:rPr>
        <w:t>means any of the following: (1) an electric production facility which derives 75 percent or more of its energy input from solar energy, wind, waste management, resource recovery, refuse-derived fuel, agricultural crops or residues, or wood burning; (2) a hydroelectric facility at a dam; (3) land, systems, buildings, or improvements that are located at the project site and are necessary or convenient to the construction, completion, or operation of the facility; or (4) transmission or distribution facilities necessary to conduct the energy produced by the facility to the purchasing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“Alternate energy purchase (AEP) program” </w:t>
      </w:r>
      <w:r>
        <w:rPr>
          <w:rFonts w:ascii="Times New Roman" w:hAnsi="Times New Roman"/>
          <w:b w:val="false"/>
          <w:i w:val="false"/>
          <w:color w:val="000000"/>
          <w:sz w:val="22"/>
        </w:rPr>
        <w:t>means a utility program that allows customers to contribute voluntarily to the development of alternate energy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“Avoided costs” </w:t>
      </w:r>
      <w:r>
        <w:rPr>
          <w:rFonts w:ascii="Times New Roman" w:hAnsi="Times New Roman"/>
          <w:b w:val="false"/>
          <w:i w:val="false"/>
          <w:color w:val="000000"/>
          <w:sz w:val="22"/>
        </w:rPr>
        <w:t>means the incremental costs to an electric utility of electric energy or capacity or both which, but for the purchase from the qualifying facility or qualifying facilities, such utility would generate itself or purchase from another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“Backup power” </w:t>
      </w:r>
      <w:r>
        <w:rPr>
          <w:rFonts w:ascii="Times New Roman" w:hAnsi="Times New Roman"/>
          <w:b w:val="false"/>
          <w:i w:val="false"/>
          <w:color w:val="000000"/>
          <w:sz w:val="22"/>
        </w:rPr>
        <w:t>means electric energy or capacity supplied by an electric utility to qualifying facilities and AEP facilities to replace energy ordinarily generated by a facility’s own generation equipment during an unscheduled outage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utilities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“Disconnection device” </w:t>
      </w:r>
      <w:r>
        <w:rPr>
          <w:rFonts w:ascii="Times New Roman" w:hAnsi="Times New Roman"/>
          <w:b w:val="false"/>
          <w:i w:val="false"/>
          <w:color w:val="000000"/>
          <w:sz w:val="22"/>
        </w:rPr>
        <w:t>means a lockable visual disconnect or other disconnection device capable of isolating, disconnecting, and de-energizing the residual voltage in a distributed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“Distributed generation facility” </w:t>
      </w:r>
      <w:r>
        <w:rPr>
          <w:rFonts w:ascii="Times New Roman" w:hAnsi="Times New Roman"/>
          <w:b w:val="false"/>
          <w:i w:val="false"/>
          <w:color w:val="000000"/>
          <w:sz w:val="22"/>
        </w:rPr>
        <w:t>means a qualifying facility, an AEP facility, or an energy storage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meter” </w:t>
      </w:r>
      <w:r>
        <w:rPr>
          <w:rFonts w:ascii="Times New Roman" w:hAnsi="Times New Roman"/>
          <w:b w:val="false"/>
          <w:i w:val="false"/>
          <w:color w:val="000000"/>
          <w:sz w:val="22"/>
        </w:rPr>
        <w:t>means a device used by an electric utility that measures and registers the integral of an electrical quantity with respect to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“Interconnection costs” </w:t>
      </w:r>
      <w:r>
        <w:rPr>
          <w:rFonts w:ascii="Times New Roman" w:hAnsi="Times New Roman"/>
          <w:b w:val="false"/>
          <w:i w:val="false"/>
          <w:color w:val="000000"/>
          <w:sz w:val="22"/>
        </w:rPr>
        <w:t>means the reasonable costs of connection, switching, metering, transmission, distribution, safety provisions and administrative costs incurred by the electric utility directly related to the installation and maintenance of the physical facilities necessary to permit interconnected operations with qualifying facilities and AEP facilities, to the extent the costs are in excess of the corresponding costs which the electric utility would have incurred if it had not engaged in interconnected operations, but instead generated an equivalent amount of electric energy itself or purchased an equivalent amount of electric energy or capacity from other sources. Interconnection costs do not include any costs included in the calculation of avoided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“Interruptible power” </w:t>
      </w:r>
      <w:r>
        <w:rPr>
          <w:rFonts w:ascii="Times New Roman" w:hAnsi="Times New Roman"/>
          <w:b w:val="false"/>
          <w:i w:val="false"/>
          <w:color w:val="000000"/>
          <w:sz w:val="22"/>
        </w:rPr>
        <w:t>means electric energy or capacity supplied by an electric utility subject to interruption by the electric utility under specified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power” </w:t>
      </w:r>
      <w:r>
        <w:rPr>
          <w:rFonts w:ascii="Times New Roman" w:hAnsi="Times New Roman"/>
          <w:b w:val="false"/>
          <w:i w:val="false"/>
          <w:color w:val="000000"/>
          <w:sz w:val="22"/>
        </w:rPr>
        <w:t>means electric energy or capacity supplied by an electric utility during scheduled outages of qualifying facilities and AEP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“Purchase” </w:t>
      </w:r>
      <w:r>
        <w:rPr>
          <w:rFonts w:ascii="Times New Roman" w:hAnsi="Times New Roman"/>
          <w:b w:val="false"/>
          <w:i w:val="false"/>
          <w:color w:val="000000"/>
          <w:sz w:val="22"/>
        </w:rPr>
        <w:t>means the purchase of electric energy or capacity or both from qualifying facilities and AEP facilities by an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facility” </w:t>
      </w:r>
      <w:r>
        <w:rPr>
          <w:rFonts w:ascii="Times New Roman" w:hAnsi="Times New Roman"/>
          <w:b w:val="false"/>
          <w:i w:val="false"/>
          <w:color w:val="000000"/>
          <w:sz w:val="22"/>
        </w:rPr>
        <w:t>means a cogeneration facility or a small power production facility which is a qualifying facility under 18 CFR Part 292, Subpart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“Rate” </w:t>
      </w:r>
      <w:r>
        <w:rPr>
          <w:rFonts w:ascii="Times New Roman" w:hAnsi="Times New Roman"/>
          <w:b w:val="false"/>
          <w:i w:val="false"/>
          <w:color w:val="000000"/>
          <w:sz w:val="22"/>
        </w:rPr>
        <w:t>means any price, rate, charge, or classification made, demanded, observed or received with respect to the sale or purchase of electric energy or capacity, or any rule, regulation, or practice respecting any rate, charge, or classification, and any contract pertaining to the sale or purchase of electric energy or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“Sale” </w:t>
      </w:r>
      <w:r>
        <w:rPr>
          <w:rFonts w:ascii="Times New Roman" w:hAnsi="Times New Roman"/>
          <w:b w:val="false"/>
          <w:i w:val="false"/>
          <w:color w:val="000000"/>
          <w:sz w:val="22"/>
        </w:rPr>
        <w:t>means the sale of electric energy or capacity or both by an electric utility to qualifying facilities and AEP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“Supplementary power” </w:t>
      </w:r>
      <w:r>
        <w:rPr>
          <w:rFonts w:ascii="Times New Roman" w:hAnsi="Times New Roman"/>
          <w:b w:val="false"/>
          <w:i w:val="false"/>
          <w:color w:val="000000"/>
          <w:sz w:val="22"/>
        </w:rPr>
        <w:t>means electric energy or capacity supplied by an electric utility, regularly used by qualifying facilities and AEP facilities in addition to that which the facility generates itself.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“System emergency” </w:t>
      </w:r>
      <w:r>
        <w:rPr>
          <w:rFonts w:ascii="Times New Roman" w:hAnsi="Times New Roman"/>
          <w:b w:val="false"/>
          <w:i w:val="false"/>
          <w:color w:val="000000"/>
          <w:sz w:val="22"/>
        </w:rPr>
        <w:t>means a condition on a utility’s system which is likely to result in imminent significant disruption of service to customers or is imminently likely to endanger life or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3694C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199—15.2</w:t>
      </w:r>
      <w:r>
        <w:rPr>
          <w:rFonts w:ascii="Times New Roman" w:hAnsi="Times New Roman"/>
          <w:b/>
          <w:i w:val="false"/>
          <w:color w:val="000000"/>
          <w:sz w:val="22"/>
        </w:rPr>
        <w:t xml:space="preserve">(476) </w:t>
      </w:r>
      <w:r>
        <w:rPr>
          <w:rFonts w:ascii="Times New Roman" w:hAnsi="Times New Roman"/>
          <w:b/>
          <w:i w:val="false"/>
          <w:color w:val="000000"/>
          <w:sz w:val="22"/>
        </w:rPr>
        <w:t xml:space="preserve">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 </w:t>
      </w:r>
      <w:hyperlink r:id="rId5">
        <w:r>
          <w:rPr>
            <w:rStyle w:val="Hyperlink"/>
            <w:rFonts w:ascii="Times New Roman" w:hAnsi="Times New Roman"/>
            <w:b w:val="false"/>
            <w:i w:val="false"/>
            <w:color w:val="000000"/>
            <w:sz w:val="22"/>
          </w:rPr>
          <w:t>15.2(2)</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199—15.10</w:t>
        </w:r>
      </w:hyperlink>
      <w:r>
        <w:rPr>
          <w:rFonts w:ascii="Times New Roman" w:hAnsi="Times New Roman"/>
          <w:b w:val="false"/>
          <w:i w:val="false"/>
          <w:color w:val="000000"/>
          <w:sz w:val="22"/>
        </w:rPr>
        <w:t>(476) of this chapter apply to all electric utilities, all qualifying facilities, and all AEP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7">
        <w:r>
          <w:rPr>
            <w:rStyle w:val="Hyperlink"/>
            <w:rFonts w:ascii="Times New Roman" w:hAnsi="Times New Roman"/>
            <w:b w:val="false"/>
            <w:i w:val="false"/>
            <w:color w:val="000000"/>
            <w:sz w:val="22"/>
          </w:rPr>
          <w:t>199—15.3</w:t>
        </w:r>
      </w:hyperlink>
      <w:r>
        <w:rPr>
          <w:rFonts w:ascii="Times New Roman" w:hAnsi="Times New Roman"/>
          <w:b w:val="false"/>
          <w:i w:val="false"/>
          <w:color w:val="000000"/>
          <w:sz w:val="22"/>
        </w:rPr>
        <w:t>(476) of this chapter applies to electric utilities which are subject to rate regulation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w:t>
      </w:r>
      <w:hyperlink r:id="rId8">
        <w:r>
          <w:rPr>
            <w:rStyle w:val="Hyperlink"/>
            <w:rFonts w:ascii="Times New Roman" w:hAnsi="Times New Roman"/>
            <w:b w:val="false"/>
            <w:i w:val="false"/>
            <w:color w:val="000000"/>
            <w:sz w:val="22"/>
          </w:rPr>
          <w:t>199—15.4</w:t>
        </w:r>
      </w:hyperlink>
      <w:r>
        <w:rPr>
          <w:rFonts w:ascii="Times New Roman" w:hAnsi="Times New Roman"/>
          <w:b w:val="false"/>
          <w:i w:val="false"/>
          <w:color w:val="000000"/>
          <w:sz w:val="22"/>
        </w:rPr>
        <w:t xml:space="preserve">(476) and </w:t>
      </w:r>
      <w:hyperlink r:id="rId9">
        <w:r>
          <w:rPr>
            <w:rStyle w:val="Hyperlink"/>
            <w:rFonts w:ascii="Times New Roman" w:hAnsi="Times New Roman"/>
            <w:b w:val="false"/>
            <w:i w:val="false"/>
            <w:color w:val="000000"/>
            <w:sz w:val="22"/>
          </w:rPr>
          <w:t>199—15.5</w:t>
        </w:r>
      </w:hyperlink>
      <w:r>
        <w:rPr>
          <w:rFonts w:ascii="Times New Roman" w:hAnsi="Times New Roman"/>
          <w:b w:val="false"/>
          <w:i w:val="false"/>
          <w:color w:val="000000"/>
          <w:sz w:val="22"/>
        </w:rPr>
        <w:t>(476) of this chapter apply to qualifying facilities and electric utilities which are subject to rate regulation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w:t>
      </w:r>
      <w:hyperlink r:id="rId10">
        <w:r>
          <w:rPr>
            <w:rStyle w:val="Hyperlink"/>
            <w:rFonts w:ascii="Times New Roman" w:hAnsi="Times New Roman"/>
            <w:b w:val="false"/>
            <w:i w:val="false"/>
            <w:color w:val="000000"/>
            <w:sz w:val="22"/>
          </w:rPr>
          <w:t>199—15.6</w:t>
        </w:r>
      </w:hyperlink>
      <w:r>
        <w:rPr>
          <w:rFonts w:ascii="Times New Roman" w:hAnsi="Times New Roman"/>
          <w:b w:val="false"/>
          <w:i w:val="false"/>
          <w:color w:val="000000"/>
          <w:sz w:val="22"/>
        </w:rPr>
        <w:t xml:space="preserve">(476) to </w:t>
      </w:r>
      <w:hyperlink r:id="rId11">
        <w:r>
          <w:rPr>
            <w:rStyle w:val="Hyperlink"/>
            <w:rFonts w:ascii="Times New Roman" w:hAnsi="Times New Roman"/>
            <w:b w:val="false"/>
            <w:i w:val="false"/>
            <w:color w:val="000000"/>
            <w:sz w:val="22"/>
          </w:rPr>
          <w:t>199—15.9</w:t>
        </w:r>
      </w:hyperlink>
      <w:r>
        <w:rPr>
          <w:rFonts w:ascii="Times New Roman" w:hAnsi="Times New Roman"/>
          <w:b w:val="false"/>
          <w:i w:val="false"/>
          <w:color w:val="000000"/>
          <w:sz w:val="22"/>
        </w:rPr>
        <w:t>(476) of this chapter apply to all qualifying facilities and AEP facilities, and electric utilities which are subject to rate regulation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2">
        <w:r>
          <w:rPr>
            <w:rStyle w:val="Hyperlink"/>
            <w:rFonts w:ascii="Times New Roman" w:hAnsi="Times New Roman"/>
            <w:b w:val="false"/>
            <w:i w:val="false"/>
            <w:color w:val="000000"/>
            <w:sz w:val="22"/>
          </w:rPr>
          <w:t>199—15.11</w:t>
        </w:r>
      </w:hyperlink>
      <w:r>
        <w:rPr>
          <w:rFonts w:ascii="Times New Roman" w:hAnsi="Times New Roman"/>
          <w:b w:val="false"/>
          <w:i w:val="false"/>
          <w:color w:val="000000"/>
          <w:sz w:val="22"/>
        </w:rPr>
        <w:t xml:space="preserve">(476) of this chapter lists additional requirements that apply to AEP facilities, and electric utilities which are subject to rate regulation by the commission, pursuant to Iowa Code sections </w:t>
      </w:r>
      <w:hyperlink r:id="rId13">
        <w:r>
          <w:rPr>
            <w:rStyle w:val="Hyperlink"/>
            <w:rFonts w:ascii="Times New Roman" w:hAnsi="Times New Roman"/>
            <w:b w:val="false"/>
            <w:i w:val="false"/>
            <w:color w:val="000000"/>
            <w:sz w:val="22"/>
          </w:rPr>
          <w:t>476.41 to 476.45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w:t>
      </w:r>
      <w:r>
        <w:rPr>
          <w:rFonts w:ascii="Times New Roman" w:hAnsi="Times New Roman"/>
          <w:b w:val="false"/>
          <w:i w:val="false"/>
          <w:color w:val="000000"/>
          <w:sz w:val="22"/>
        </w:rPr>
        <w:t> </w:t>
      </w:r>
      <w:r>
        <w:rPr>
          <w:rFonts w:ascii="Times New Roman" w:hAnsi="Times New Roman"/>
          <w:b w:val="false"/>
          <w:i/>
          <w:color w:val="000000"/>
          <w:sz w:val="22"/>
        </w:rPr>
        <w:t xml:space="preserve">Negotiated rates or terms. </w:t>
      </w:r>
      <w:r>
        <w:rPr>
          <w:rFonts w:ascii="Times New Roman" w:hAnsi="Times New Roman"/>
          <w:b w:val="false"/>
          <w:i w:val="false"/>
          <w:color w:val="000000"/>
          <w:sz w:val="22"/>
        </w:rPr>
        <w:t>These rules do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Limit the authority of any electric utility, any qualifying facility, or any AEP facility to agree to a rate for any purchase, or terms or conditions relating to any purchase, which differ from the rate or terms or conditions which would otherwise be required by these rules;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Affect the validity of any contract entered into between an electric utility and a qualifying facility or AEP facility for any purchase.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199—15.3</w:t>
      </w:r>
      <w:r>
        <w:rPr>
          <w:rFonts w:ascii="Times New Roman" w:hAnsi="Times New Roman"/>
          <w:b/>
          <w:i w:val="false"/>
          <w:color w:val="000000"/>
          <w:sz w:val="22"/>
        </w:rPr>
        <w:t xml:space="preserve">(476) </w:t>
      </w:r>
      <w:r>
        <w:rPr>
          <w:rFonts w:ascii="Times New Roman" w:hAnsi="Times New Roman"/>
          <w:b/>
          <w:i w:val="false"/>
          <w:color w:val="000000"/>
          <w:sz w:val="22"/>
        </w:rPr>
        <w:t xml:space="preserve">Information to commission. </w:t>
      </w:r>
      <w:r>
        <w:rPr>
          <w:rFonts w:ascii="Times New Roman" w:hAnsi="Times New Roman"/>
          <w:b w:val="false"/>
          <w:i w:val="false"/>
          <w:color w:val="000000"/>
          <w:sz w:val="22"/>
        </w:rPr>
        <w:t>In addition to the information required to be supplied to the commission under 18 CFR 292.302, all rate-regulated electric utilities shall supply to the commission copies of contracts executed for the purchase or sale, for resale, of energy or capacity. If the purchases or sales are made other than pursuant to the terms of a written contract, then information as to the relevant prices and conditions shall be supplied to the commission. All information required to be supplied under this rule shall be filed with the commission by May 1 and November 1 of each year for all transactions occurring since the last filing was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199—15.4</w:t>
      </w:r>
      <w:r>
        <w:rPr>
          <w:rFonts w:ascii="Times New Roman" w:hAnsi="Times New Roman"/>
          <w:b/>
          <w:i w:val="false"/>
          <w:color w:val="000000"/>
          <w:sz w:val="22"/>
        </w:rPr>
        <w:t xml:space="preserve">(476) </w:t>
      </w:r>
      <w:r>
        <w:rPr>
          <w:rFonts w:ascii="Times New Roman" w:hAnsi="Times New Roman"/>
          <w:b/>
          <w:i w:val="false"/>
          <w:color w:val="000000"/>
          <w:sz w:val="22"/>
        </w:rPr>
        <w:t xml:space="preserve">Rate-regulated electric utility obligations under this chapter regarding qualifying facilities. </w:t>
      </w:r>
      <w:r>
        <w:rPr>
          <w:rFonts w:ascii="Times New Roman" w:hAnsi="Times New Roman"/>
          <w:b w:val="false"/>
          <w:i w:val="false"/>
          <w:color w:val="000000"/>
          <w:sz w:val="22"/>
        </w:rPr>
        <w:t>For purposes of this rule, “electric utility” means a rate-regulated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w:t>
      </w:r>
      <w:r>
        <w:rPr>
          <w:rFonts w:ascii="Times New Roman" w:hAnsi="Times New Roman"/>
          <w:b w:val="false"/>
          <w:i w:val="false"/>
          <w:color w:val="000000"/>
          <w:sz w:val="22"/>
        </w:rPr>
        <w:t> </w:t>
      </w:r>
      <w:r>
        <w:rPr>
          <w:rFonts w:ascii="Times New Roman" w:hAnsi="Times New Roman"/>
          <w:b w:val="false"/>
          <w:i/>
          <w:color w:val="000000"/>
          <w:sz w:val="22"/>
        </w:rPr>
        <w:t xml:space="preserve">Obligation to purchase from qualifying facilities. </w:t>
      </w:r>
      <w:r>
        <w:rPr>
          <w:rFonts w:ascii="Times New Roman" w:hAnsi="Times New Roman"/>
          <w:b w:val="false"/>
          <w:i w:val="false"/>
          <w:color w:val="000000"/>
          <w:sz w:val="22"/>
        </w:rPr>
        <w:t>Each electric utility shall purchase, in accordance with these rules, any energy and capacity which is made available from a qualifying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Directly to the electric utility;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Indirectly to the electric utility in accordance with subrule </w:t>
      </w:r>
      <w:hyperlink r:id="rId14">
        <w:r>
          <w:rPr>
            <w:rStyle w:val="Hyperlink"/>
            <w:rFonts w:ascii="Times New Roman" w:hAnsi="Times New Roman"/>
            <w:b w:val="false"/>
            <w:i w:val="false"/>
            <w:color w:val="000000"/>
            <w:sz w:val="22"/>
          </w:rPr>
          <w:t>15.4(4)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w:t>
      </w:r>
      <w:r>
        <w:rPr>
          <w:rFonts w:ascii="Times New Roman" w:hAnsi="Times New Roman"/>
          <w:b w:val="false"/>
          <w:i w:val="false"/>
          <w:color w:val="000000"/>
          <w:sz w:val="22"/>
        </w:rPr>
        <w:t> </w:t>
      </w:r>
      <w:r>
        <w:rPr>
          <w:rFonts w:ascii="Times New Roman" w:hAnsi="Times New Roman"/>
          <w:b w:val="false"/>
          <w:i/>
          <w:color w:val="000000"/>
          <w:sz w:val="22"/>
        </w:rPr>
        <w:t xml:space="preserve">Obligation to sell to qualifying facilities. </w:t>
      </w:r>
      <w:r>
        <w:rPr>
          <w:rFonts w:ascii="Times New Roman" w:hAnsi="Times New Roman"/>
          <w:b w:val="false"/>
          <w:i w:val="false"/>
          <w:color w:val="000000"/>
          <w:sz w:val="22"/>
        </w:rPr>
        <w:t>Each electric utility shall sell to any qualifying facility, in accordance with these rules and the other requirements of law, any energy and capacity requested by the qualifying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w:t>
      </w:r>
      <w:r>
        <w:rPr>
          <w:rFonts w:ascii="Times New Roman" w:hAnsi="Times New Roman"/>
          <w:b w:val="false"/>
          <w:i w:val="false"/>
          <w:color w:val="000000"/>
          <w:sz w:val="22"/>
        </w:rPr>
        <w:t> </w:t>
      </w:r>
      <w:r>
        <w:rPr>
          <w:rFonts w:ascii="Times New Roman" w:hAnsi="Times New Roman"/>
          <w:b w:val="false"/>
          <w:i/>
          <w:color w:val="000000"/>
          <w:sz w:val="22"/>
        </w:rPr>
        <w:t xml:space="preserve">Obligation to interconnect. </w:t>
      </w:r>
      <w:r>
        <w:rPr>
          <w:rFonts w:ascii="Times New Roman" w:hAnsi="Times New Roman"/>
          <w:b w:val="false"/>
          <w:i w:val="false"/>
          <w:color w:val="000000"/>
          <w:sz w:val="22"/>
        </w:rPr>
        <w:t xml:space="preserve">Any electric utility shall make the interconnections with any qualifying facility as may be necessary to accomplish purchases or sales under these rules. The obligation to pay for any interconnection costs shall be determined in accordance with rule </w:t>
      </w:r>
      <w:hyperlink r:id="rId15">
        <w:r>
          <w:rPr>
            <w:rStyle w:val="Hyperlink"/>
            <w:rFonts w:ascii="Times New Roman" w:hAnsi="Times New Roman"/>
            <w:b w:val="false"/>
            <w:i w:val="false"/>
            <w:color w:val="000000"/>
            <w:sz w:val="22"/>
          </w:rPr>
          <w:t>199—15.8</w:t>
        </w:r>
      </w:hyperlink>
      <w:r>
        <w:rPr>
          <w:rFonts w:ascii="Times New Roman" w:hAnsi="Times New Roman"/>
          <w:b w:val="false"/>
          <w:i w:val="false"/>
          <w:color w:val="000000"/>
          <w:sz w:val="22"/>
        </w:rPr>
        <w:t>(476). However, no electric utility is required to interconnect with any qualifying facility if, solely by reason of purchases or sales over the interconnection, the electric utility would become subject to regulation as a public utility under Part II of the Federal Power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w:t>
      </w:r>
      <w:r>
        <w:rPr>
          <w:rFonts w:ascii="Times New Roman" w:hAnsi="Times New Roman"/>
          <w:b w:val="false"/>
          <w:i w:val="false"/>
          <w:color w:val="000000"/>
          <w:sz w:val="22"/>
        </w:rPr>
        <w:t> </w:t>
      </w:r>
      <w:r>
        <w:rPr>
          <w:rFonts w:ascii="Times New Roman" w:hAnsi="Times New Roman"/>
          <w:b w:val="false"/>
          <w:i/>
          <w:color w:val="000000"/>
          <w:sz w:val="22"/>
        </w:rPr>
        <w:t xml:space="preserve">Transmission to other electric utilities. </w:t>
      </w:r>
      <w:r>
        <w:rPr>
          <w:rFonts w:ascii="Times New Roman" w:hAnsi="Times New Roman"/>
          <w:b w:val="false"/>
          <w:i w:val="false"/>
          <w:color w:val="000000"/>
          <w:sz w:val="22"/>
        </w:rPr>
        <w:t>If a qualifying facility agrees, an electric utility which would otherwise be obligated to purchase energy or capacity from the qualifying facility may transmit the energy or capacity to any other electric utility. Any electric utility to which the energy or capacity is transmitted shall purchase the energy or capacity under this subpart as if the qualifying facility were supplying energy or capacity directly to the electric utility. The rate for purchase by the electric utility to which the energy is transmitted shall be adjusted up or down to reflect line losses and shall not include any charges for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w:t>
      </w:r>
      <w:r>
        <w:rPr>
          <w:rFonts w:ascii="Times New Roman" w:hAnsi="Times New Roman"/>
          <w:b w:val="false"/>
          <w:i w:val="false"/>
          <w:color w:val="000000"/>
          <w:sz w:val="22"/>
        </w:rPr>
        <w:t> </w:t>
      </w:r>
      <w:r>
        <w:rPr>
          <w:rFonts w:ascii="Times New Roman" w:hAnsi="Times New Roman"/>
          <w:b w:val="false"/>
          <w:i/>
          <w:color w:val="000000"/>
          <w:sz w:val="22"/>
        </w:rPr>
        <w:t xml:space="preserve">Parallel operation. </w:t>
      </w:r>
      <w:r>
        <w:rPr>
          <w:rFonts w:ascii="Times New Roman" w:hAnsi="Times New Roman"/>
          <w:b w:val="false"/>
          <w:i w:val="false"/>
          <w:color w:val="000000"/>
          <w:sz w:val="22"/>
        </w:rPr>
        <w:t>Each electric utility shall offer to operate in parallel with a qualifying facility, provided that the qualifying facility complies with any applicable standards established in accordance with these rules.</w:t>
      </w:r>
    </w:p>
    <w:p>
      <w:pPr>
        <w:spacing w:before="0" w:after="0"/>
        <w:ind w:left="120"/>
        <w:jc w:val="both"/>
      </w:pPr>
      <w:r>
        <w:rPr>
          <w:rFonts w:ascii="Times New Roman" w:hAnsi="Times New Roman"/>
          <w:b/>
          <w:i w:val="false"/>
          <w:color w:val="000000"/>
          <w:sz w:val="22"/>
        </w:rPr>
        <w:t>199—15.5</w:t>
      </w:r>
      <w:r>
        <w:rPr>
          <w:rFonts w:ascii="Times New Roman" w:hAnsi="Times New Roman"/>
          <w:b/>
          <w:i w:val="false"/>
          <w:color w:val="000000"/>
          <w:sz w:val="22"/>
        </w:rPr>
        <w:t xml:space="preserve">(476) </w:t>
      </w:r>
      <w:r>
        <w:rPr>
          <w:rFonts w:ascii="Times New Roman" w:hAnsi="Times New Roman"/>
          <w:b/>
          <w:i w:val="false"/>
          <w:color w:val="000000"/>
          <w:sz w:val="22"/>
        </w:rPr>
        <w:t xml:space="preserve">Rates for purchases from qualifying facilities by rate-regulated electric utilities. </w:t>
      </w:r>
      <w:r>
        <w:rPr>
          <w:rFonts w:ascii="Times New Roman" w:hAnsi="Times New Roman"/>
          <w:b w:val="false"/>
          <w:i w:val="false"/>
          <w:color w:val="000000"/>
          <w:sz w:val="22"/>
        </w:rPr>
        <w:t>For purposes of this rule, “electric utility” or “utility” means a rate-regulated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color w:val="000000"/>
          <w:sz w:val="22"/>
        </w:rPr>
        <w:t xml:space="preserve">Rates for purchases. </w:t>
      </w:r>
      <w:r>
        <w:rPr>
          <w:rFonts w:ascii="Times New Roman" w:hAnsi="Times New Roman"/>
          <w:b w:val="false"/>
          <w:i w:val="false"/>
          <w:color w:val="000000"/>
          <w:sz w:val="22"/>
        </w:rPr>
        <w:t>Rates for purchases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just and reasonable to the electric consumer of the electric utility and in the public interest;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discriminate against qualifying cogeneration and small power production facilities. Nothing in these rules requires any electric utility to pay more than the avoided costs, as set forth in these rules, for purchases.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color w:val="000000"/>
          <w:sz w:val="22"/>
        </w:rPr>
        <w:t xml:space="preserve">Relationship to avoided costs. </w:t>
      </w:r>
      <w:r>
        <w:rPr>
          <w:rFonts w:ascii="Times New Roman" w:hAnsi="Times New Roman"/>
          <w:b w:val="false"/>
          <w:i w:val="false"/>
          <w:color w:val="000000"/>
          <w:sz w:val="22"/>
        </w:rPr>
        <w:t>For purposes of this subrule, “new capacity” means any purchase from capacity of a qualifying facility, construction of which was commenced on or after November 9, 1978.</w:t>
      </w:r>
    </w:p>
    <w:p>
      <w:pPr>
        <w:spacing w:before="0" w:after="0"/>
        <w:ind w:left="120"/>
        <w:jc w:val="both"/>
      </w:pPr>
      <w:r>
        <w:rPr>
          <w:rFonts w:ascii="Times New Roman" w:hAnsi="Times New Roman"/>
          <w:b w:val="false"/>
          <w:i w:val="false"/>
          <w:color w:val="000000"/>
          <w:sz w:val="22"/>
        </w:rPr>
        <w:t xml:space="preserve">A rate for purchases satisfies the requirements of this rule if the rate equals the avoided costs determined after consideration of the factors set forth in subrule </w:t>
      </w:r>
      <w:hyperlink r:id="rId16">
        <w:r>
          <w:rPr>
            <w:rStyle w:val="Hyperlink"/>
            <w:rFonts w:ascii="Times New Roman" w:hAnsi="Times New Roman"/>
            <w:b w:val="false"/>
            <w:i w:val="false"/>
            <w:color w:val="000000"/>
            <w:sz w:val="22"/>
          </w:rPr>
          <w:t>15.5(6)</w:t>
        </w:r>
      </w:hyperlink>
      <w:r>
        <w:rPr>
          <w:rFonts w:ascii="Times New Roman" w:hAnsi="Times New Roman"/>
          <w:b w:val="false"/>
          <w:i w:val="false"/>
          <w:color w:val="000000"/>
          <w:sz w:val="22"/>
        </w:rPr>
        <w:t xml:space="preserve">; except that a rate for purchases other than from new capacity may be less than the avoided cost if the commission determines that a lower rate is consistent with subrule </w:t>
      </w:r>
      <w:hyperlink r:id="rId17">
        <w:r>
          <w:rPr>
            <w:rStyle w:val="Hyperlink"/>
            <w:rFonts w:ascii="Times New Roman" w:hAnsi="Times New Roman"/>
            <w:b w:val="false"/>
            <w:i w:val="false"/>
            <w:color w:val="000000"/>
            <w:sz w:val="22"/>
          </w:rPr>
          <w:t>15.5(1)</w:t>
        </w:r>
      </w:hyperlink>
      <w:r>
        <w:rPr>
          <w:rFonts w:ascii="Times New Roman" w:hAnsi="Times New Roman"/>
          <w:b w:val="false"/>
          <w:i w:val="false"/>
          <w:color w:val="000000"/>
          <w:sz w:val="22"/>
        </w:rPr>
        <w:t xml:space="preserve"> and is sufficient to encourage cogeneration and small power production.</w:t>
      </w:r>
    </w:p>
    <w:p>
      <w:pPr>
        <w:spacing w:before="0" w:after="0"/>
        <w:ind w:left="120"/>
        <w:jc w:val="both"/>
      </w:pPr>
      <w:r>
        <w:rPr>
          <w:rFonts w:ascii="Times New Roman" w:hAnsi="Times New Roman"/>
          <w:b w:val="false"/>
          <w:i w:val="false"/>
          <w:color w:val="000000"/>
          <w:sz w:val="22"/>
        </w:rPr>
        <w:t>Unless the qualifying facility and the utility agree otherwise, rates for purchases shall conform to the requirements of this rule regardless of whether the electric utility making purchases is simultaneously making sales to the qualifying facility.</w:t>
      </w:r>
    </w:p>
    <w:p>
      <w:pPr>
        <w:spacing w:before="0" w:after="0"/>
        <w:ind w:left="120"/>
        <w:jc w:val="both"/>
      </w:pPr>
      <w:r>
        <w:rPr>
          <w:rFonts w:ascii="Times New Roman" w:hAnsi="Times New Roman"/>
          <w:b w:val="false"/>
          <w:i w:val="false"/>
          <w:color w:val="000000"/>
          <w:sz w:val="22"/>
        </w:rPr>
        <w:t>In the case in which the rates for purchases are based upon estimates of avoided costs over the specific term of the contract or other legally enforceable obligation, the rates for purchases do not violate this rule if the rates for the purchases differ from avoided costs at the time of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w:t>
      </w:r>
      <w:r>
        <w:rPr>
          <w:rFonts w:ascii="Times New Roman" w:hAnsi="Times New Roman"/>
          <w:b w:val="false"/>
          <w:i w:val="false"/>
          <w:color w:val="000000"/>
          <w:sz w:val="22"/>
        </w:rPr>
        <w:t> </w:t>
      </w:r>
      <w:r>
        <w:rPr>
          <w:rFonts w:ascii="Times New Roman" w:hAnsi="Times New Roman"/>
          <w:b w:val="false"/>
          <w:i/>
          <w:color w:val="000000"/>
          <w:sz w:val="22"/>
        </w:rPr>
        <w:t xml:space="preserve">Standard rates for purchases. </w:t>
      </w:r>
      <w:r>
        <w:rPr>
          <w:rFonts w:ascii="Times New Roman" w:hAnsi="Times New Roman"/>
          <w:b w:val="false"/>
          <w:i w:val="false"/>
          <w:color w:val="000000"/>
          <w:sz w:val="22"/>
        </w:rPr>
        <w:t>Each electric utility shall file and maintain with the commission tariffs specifying standard rates for purchases from qualifying facilities with a design capacity of 100 kilowatts or less. These tariffs may differentiate between qualifying facilities using various technologies on the basis of the supply characteristics of the different technologies. All utilities shall include a seasonal differential in these rates for purchases to the extent avoided costs vary by season. All utilities shall make available time of day rates for those facilities with a design capacity of 100 kilowatts or less, provided that the qualifying facility shall pay, in addition to the interconnection costs set forth in these rules, all additional costs associated with the time of day metering.</w:t>
      </w:r>
    </w:p>
    <w:p>
      <w:pPr>
        <w:spacing w:before="0" w:after="0"/>
        <w:ind w:left="120"/>
        <w:jc w:val="both"/>
      </w:pPr>
      <w:r>
        <w:rPr>
          <w:rFonts w:ascii="Times New Roman" w:hAnsi="Times New Roman"/>
          <w:b w:val="false"/>
          <w:i w:val="false"/>
          <w:color w:val="000000"/>
          <w:sz w:val="22"/>
        </w:rPr>
        <w:t>The standard rates set forth in this rule shall indicate what portion of the rate is attributable to payments for the utility’s avoided energy costs, and what portion of the rate, if any, is attributable to payments for capacity costs avoided by the utility. If no capacity credit is provided in the standard tariff, a qualifying facility may petition the commission for an allowance of the capacity credit. The petition shall be handled by the commission as a contested case proceeding, and the burden of proof shall be on the qualifying facility to demonstrate that capacity credit is warranted in the case in question.</w:t>
      </w:r>
    </w:p>
    <w:p>
      <w:pPr>
        <w:spacing w:before="0" w:after="0"/>
        <w:ind w:left="120"/>
        <w:jc w:val="both"/>
      </w:pPr>
      <w:r>
        <w:rPr>
          <w:rFonts w:ascii="Times New Roman" w:hAnsi="Times New Roman"/>
          <w:b w:val="false"/>
          <w:i w:val="false"/>
          <w:color w:val="000000"/>
          <w:sz w:val="22"/>
        </w:rPr>
        <w:t>The commission may require utilities interconnected with qualifying facilities to provide metering and other equipment necessary for the collection test and monitoring of information concerning the time and conditions under which energy and capacity are available from the qualifying facility. The costs of such metering shall be treated by the utility in the same manner as any other research expenditure.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w:t>
      </w:r>
      <w:r>
        <w:rPr>
          <w:rFonts w:ascii="Times New Roman" w:hAnsi="Times New Roman"/>
          <w:b w:val="false"/>
          <w:i w:val="false"/>
          <w:color w:val="000000"/>
          <w:sz w:val="22"/>
        </w:rPr>
        <w:t> </w:t>
      </w:r>
      <w:r>
        <w:rPr>
          <w:rFonts w:ascii="Times New Roman" w:hAnsi="Times New Roman"/>
          <w:b w:val="false"/>
          <w:i/>
          <w:color w:val="000000"/>
          <w:sz w:val="22"/>
        </w:rPr>
        <w:t xml:space="preserve">Other purchases. </w:t>
      </w:r>
      <w:r>
        <w:rPr>
          <w:rFonts w:ascii="Times New Roman" w:hAnsi="Times New Roman"/>
          <w:b w:val="false"/>
          <w:i w:val="false"/>
          <w:color w:val="000000"/>
          <w:sz w:val="22"/>
        </w:rPr>
        <w:t>Rates for purchases from qualifying facilities with a design capacity of greater than 100 kilowatts shall be determined in contested case proceedings before the commission, unless the rates are otherwise agreed upon by the qualifying facility and the utility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w:t>
      </w:r>
      <w:r>
        <w:rPr>
          <w:rFonts w:ascii="Times New Roman" w:hAnsi="Times New Roman"/>
          <w:b w:val="false"/>
          <w:i w:val="false"/>
          <w:color w:val="000000"/>
          <w:sz w:val="22"/>
        </w:rPr>
        <w:t> </w:t>
      </w:r>
      <w:r>
        <w:rPr>
          <w:rFonts w:ascii="Times New Roman" w:hAnsi="Times New Roman"/>
          <w:b w:val="false"/>
          <w:i/>
          <w:color w:val="000000"/>
          <w:sz w:val="22"/>
        </w:rPr>
        <w:t xml:space="preserve">Purchases “as available” or pursuant to a legally enforceable obligation. </w:t>
      </w:r>
      <w:r>
        <w:rPr>
          <w:rFonts w:ascii="Times New Roman" w:hAnsi="Times New Roman"/>
          <w:b w:val="false"/>
          <w:i w:val="false"/>
          <w:color w:val="000000"/>
          <w:sz w:val="22"/>
        </w:rPr>
        <w:t>Each qualifying facility shall have the option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provide energy as the qualifying facility determines the energy to be available for the purchases, in which case the rates for the purchases shall be based on the purchasing utility’s avoided costs calculated at the time of delivery;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provide energy or capacity pursuant to a legally enforceable obligation for the delivery of energy or capacity over a specified term, in which case the rates for the purchases shall, at the option of the qualifying facility exercised prior to the beginning of the specified term, be based on either: The avoided costs calculated at the time of delivery; or the avoided costs calculated at the time the obligation is incurred.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w:t>
      </w:r>
      <w:r>
        <w:rPr>
          <w:rFonts w:ascii="Times New Roman" w:hAnsi="Times New Roman"/>
          <w:b w:val="false"/>
          <w:i w:val="false"/>
          <w:color w:val="000000"/>
          <w:sz w:val="22"/>
        </w:rPr>
        <w:t> </w:t>
      </w:r>
      <w:r>
        <w:rPr>
          <w:rFonts w:ascii="Times New Roman" w:hAnsi="Times New Roman"/>
          <w:b w:val="false"/>
          <w:i/>
          <w:color w:val="000000"/>
          <w:sz w:val="22"/>
        </w:rPr>
        <w:t xml:space="preserve">Factors affecting rates for purchases. </w:t>
      </w:r>
      <w:r>
        <w:rPr>
          <w:rFonts w:ascii="Times New Roman" w:hAnsi="Times New Roman"/>
          <w:b w:val="false"/>
          <w:i w:val="false"/>
          <w:color w:val="000000"/>
          <w:sz w:val="22"/>
        </w:rPr>
        <w:t>In determining avoided costs, the following factors shall, to the extent practicable, be taken into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prevailing rates for capacity or energy on any interstate power grid with which the utility is interconnected.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incremental energy costs or capacity costs of the utility itself or utilities in the interstate power grid with which the utility is interconnected.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of day or season during which capacity or energy is available,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ability of the utility to dispatch the qualifying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expected or demonstrated reliability of the qualifying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terms of any contract or other legally enforceable obligation, including the duration of the obligation, termination notice requirement and sanctions for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extent to which scheduled outages of the qualifying facility can be usefully coordinated with scheduled outages of the utility’s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usefulness of energy and capacity supplied from a qualifying facility during system emergencies, including its ability to separate its load from its generation;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individual and aggregate value of energy and capacity from qualifying facilities on the electric utility’s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costs or savings resulting from variations in line losses from those that would have existed in the absence of purchases from the qualifying facility, if the purchasing electric utility generated an equivalent amount of energy itself.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15.5(7)</w:t>
      </w:r>
      <w:r>
        <w:rPr>
          <w:rFonts w:ascii="Times New Roman" w:hAnsi="Times New Roman"/>
          <w:b w:val="false"/>
          <w:i w:val="false"/>
          <w:color w:val="000000"/>
          <w:sz w:val="22"/>
        </w:rPr>
        <w:t> </w:t>
      </w:r>
      <w:r>
        <w:rPr>
          <w:rFonts w:ascii="Times New Roman" w:hAnsi="Times New Roman"/>
          <w:b w:val="false"/>
          <w:i/>
          <w:color w:val="000000"/>
          <w:sz w:val="22"/>
        </w:rPr>
        <w:t xml:space="preserve">Periods during which purchases not required. </w:t>
      </w:r>
      <w:r>
        <w:rPr>
          <w:rFonts w:ascii="Times New Roman" w:hAnsi="Times New Roman"/>
          <w:b w:val="false"/>
          <w:i w:val="false"/>
          <w:color w:val="000000"/>
          <w:sz w:val="22"/>
        </w:rPr>
        <w:t>Any electric utility will not be required to purchase electric energy or capacity during any period during which, due to operational circumstances, purchases from qualifying facilities will result in costs greater than those which the utility would incur if it did not make the purchases, but instead generated an equivalent amount of energy itself; provided, however, that any electric utility seeking to invoke this subrule must notify each affected qualifying facility within a reasonable amount of time to allow the qualifying facility to cease the delivery of energy or capacity to the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electric utility which fails to comply with the provisions of this subrule will be required to pay the usual rate for the purchase of energy or capacity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claim by an electric utility that such a period has occurred or will occur is subject to verification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0781C</w:t>
      </w:r>
      <w:r>
        <w:rPr>
          <w:rFonts w:ascii="Times New Roman" w:hAnsi="Times New Roman"/>
          <w:b w:val="false"/>
          <w:i w:val="false"/>
          <w:color w:val="000000"/>
          <w:sz w:val="16"/>
        </w:rPr>
        <w:t>, IAB 6/12/13, effective 7/17/13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199—15.6</w:t>
      </w:r>
      <w:r>
        <w:rPr>
          <w:rFonts w:ascii="Times New Roman" w:hAnsi="Times New Roman"/>
          <w:b/>
          <w:i w:val="false"/>
          <w:color w:val="000000"/>
          <w:sz w:val="22"/>
        </w:rPr>
        <w:t xml:space="preserve">(476) </w:t>
      </w:r>
      <w:r>
        <w:rPr>
          <w:rFonts w:ascii="Times New Roman" w:hAnsi="Times New Roman"/>
          <w:b/>
          <w:i w:val="false"/>
          <w:color w:val="000000"/>
          <w:sz w:val="22"/>
        </w:rPr>
        <w:t xml:space="preserve">Rates for sales to qualifying facilities and AEP facilities by rate-regulated utilities. </w:t>
      </w:r>
      <w:r>
        <w:rPr>
          <w:rFonts w:ascii="Times New Roman" w:hAnsi="Times New Roman"/>
          <w:b w:val="false"/>
          <w:i w:val="false"/>
          <w:color w:val="000000"/>
          <w:sz w:val="22"/>
        </w:rPr>
        <w:t>For purposes of this rule, “utility” means a rate-regulated electric utility. Rates for sales to qualifying facilities and AEP facilities shall be just, reasonable and in the public interest, and shall not discriminate against qualifying facilities and AEP facilities in comparison to rates for sales to other customers with similar load or other cost-related characteristics served by the utility. The rate for sales of backup or maintenance power shall not be based upon an assumption (unless supported by data) that forced outages or other reductions in electric output by all qualifying facilities and AEP facilities will occur simultaneously or during the system peak, or both, and shall take into account the extent to which scheduled outages of qualifying facilities and AEP facilities can be usefully coordinated with scheduled outages of the utility’s facilities.</w:t>
      </w:r>
    </w:p>
    <w:p>
      <w:pPr>
        <w:spacing w:before="0" w:after="0"/>
        <w:ind w:left="120"/>
        <w:jc w:val="both"/>
      </w:pPr>
      <w:r>
        <w:rPr>
          <w:rFonts w:ascii="Times New Roman" w:hAnsi="Times New Roman"/>
          <w:b/>
          <w:i w:val="false"/>
          <w:color w:val="000000"/>
          <w:sz w:val="22"/>
        </w:rPr>
        <w:t>199—15.7</w:t>
      </w:r>
      <w:r>
        <w:rPr>
          <w:rFonts w:ascii="Times New Roman" w:hAnsi="Times New Roman"/>
          <w:b/>
          <w:i w:val="false"/>
          <w:color w:val="000000"/>
          <w:sz w:val="22"/>
        </w:rPr>
        <w:t xml:space="preserve">(476) </w:t>
      </w:r>
      <w:r>
        <w:rPr>
          <w:rFonts w:ascii="Times New Roman" w:hAnsi="Times New Roman"/>
          <w:b/>
          <w:i w:val="false"/>
          <w:color w:val="000000"/>
          <w:sz w:val="22"/>
        </w:rPr>
        <w:t xml:space="preserve">Additional services to be provided to qualifying facilities and AEP facilities by rate-regulated electric utilities. </w:t>
      </w:r>
      <w:r>
        <w:rPr>
          <w:rFonts w:ascii="Times New Roman" w:hAnsi="Times New Roman"/>
          <w:b w:val="false"/>
          <w:i w:val="false"/>
          <w:color w:val="000000"/>
          <w:sz w:val="22"/>
        </w:rPr>
        <w:t>For purposes of this rule, “electric utility” or “utility” means a rate-regulated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request of qualifying facilities and AEP facilities, each electric utility shall provide supplementary power, backup, maintenance power, and interruptible power. Rates for such service shall meet the requirements of subrule </w:t>
      </w:r>
      <w:hyperlink r:id="rId18">
        <w:r>
          <w:rPr>
            <w:rStyle w:val="Hyperlink"/>
            <w:rFonts w:ascii="Times New Roman" w:hAnsi="Times New Roman"/>
            <w:b w:val="false"/>
            <w:i w:val="false"/>
            <w:color w:val="000000"/>
            <w:sz w:val="22"/>
          </w:rPr>
          <w:t>15.5(6)</w:t>
        </w:r>
      </w:hyperlink>
      <w:r>
        <w:rPr>
          <w:rFonts w:ascii="Times New Roman" w:hAnsi="Times New Roman"/>
          <w:b w:val="false"/>
          <w:i w:val="false"/>
          <w:color w:val="000000"/>
          <w:sz w:val="22"/>
        </w:rPr>
        <w:t>, and shall be in accordance with the terms of the utility’s tariff.</w:t>
      </w:r>
    </w:p>
    <w:p>
      <w:pPr>
        <w:spacing w:before="0" w:after="0"/>
        <w:ind w:left="120"/>
        <w:jc w:val="both"/>
      </w:pPr>
      <w:r>
        <w:rPr>
          <w:rFonts w:ascii="Times New Roman" w:hAnsi="Times New Roman"/>
          <w:b w:val="false"/>
          <w:i w:val="false"/>
          <w:color w:val="000000"/>
          <w:sz w:val="22"/>
        </w:rPr>
        <w:t xml:space="preserve">The commission may waive this requirement pursuant to rule </w:t>
      </w:r>
      <w:hyperlink r:id="rId19">
        <w:r>
          <w:rPr>
            <w:rStyle w:val="Hyperlink"/>
            <w:rFonts w:ascii="Times New Roman" w:hAnsi="Times New Roman"/>
            <w:b w:val="false"/>
            <w:i w:val="false"/>
            <w:color w:val="000000"/>
            <w:sz w:val="22"/>
          </w:rPr>
          <w:t>199—1.3</w:t>
        </w:r>
      </w:hyperlink>
      <w:r>
        <w:rPr>
          <w:rFonts w:ascii="Times New Roman" w:hAnsi="Times New Roman"/>
          <w:b w:val="false"/>
          <w:i w:val="false"/>
          <w:color w:val="000000"/>
          <w:sz w:val="22"/>
        </w:rPr>
        <w:t>(17A,474) only after notice in the area served by the utility and an opportunity for public comment. The waiver may be granted if compliance with this rule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Impair the electric utility’s ability to render adequate service to its customers,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 an undue burden on the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199—15.8</w:t>
      </w:r>
      <w:r>
        <w:rPr>
          <w:rFonts w:ascii="Times New Roman" w:hAnsi="Times New Roman"/>
          <w:b/>
          <w:i w:val="false"/>
          <w:color w:val="000000"/>
          <w:sz w:val="22"/>
        </w:rPr>
        <w:t xml:space="preserve">(476) </w:t>
      </w:r>
      <w:r>
        <w:rPr>
          <w:rFonts w:ascii="Times New Roman" w:hAnsi="Times New Roman"/>
          <w:b/>
          <w:i w:val="false"/>
          <w:color w:val="000000"/>
          <w:sz w:val="22"/>
        </w:rPr>
        <w:t xml:space="preserve">Interconnection costs. </w:t>
      </w:r>
      <w:r>
        <w:rPr>
          <w:rFonts w:ascii="Times New Roman" w:hAnsi="Times New Roman"/>
          <w:b w:val="false"/>
          <w:i w:val="false"/>
          <w:color w:val="000000"/>
          <w:sz w:val="22"/>
        </w:rPr>
        <w:t>For purposes of this rule, “utility” means a rate-regulated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15.8(1)</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Qualifying facilities and AEP facilities shall be obligated to pay interconnection costs, as described in </w:t>
      </w:r>
      <w:hyperlink r:id="rId20">
        <w:r>
          <w:rPr>
            <w:rStyle w:val="Hyperlink"/>
            <w:rFonts w:ascii="Times New Roman" w:hAnsi="Times New Roman"/>
            <w:b w:val="false"/>
            <w:i w:val="false"/>
            <w:color w:val="000000"/>
            <w:sz w:val="22"/>
          </w:rPr>
          <w:t>199—Chapter 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199—15.9</w:t>
      </w:r>
      <w:r>
        <w:rPr>
          <w:rFonts w:ascii="Times New Roman" w:hAnsi="Times New Roman"/>
          <w:b/>
          <w:i w:val="false"/>
          <w:color w:val="000000"/>
          <w:sz w:val="22"/>
        </w:rPr>
        <w:t xml:space="preserve">(476) </w:t>
      </w:r>
      <w:r>
        <w:rPr>
          <w:rFonts w:ascii="Times New Roman" w:hAnsi="Times New Roman"/>
          <w:b/>
          <w:i w:val="false"/>
          <w:color w:val="000000"/>
          <w:sz w:val="22"/>
        </w:rPr>
        <w:t xml:space="preserve">System emergencies. </w:t>
      </w:r>
      <w:r>
        <w:rPr>
          <w:rFonts w:ascii="Times New Roman" w:hAnsi="Times New Roman"/>
          <w:b w:val="false"/>
          <w:i w:val="false"/>
          <w:color w:val="000000"/>
          <w:sz w:val="22"/>
        </w:rPr>
        <w:t>For purposes of this rule, “electric utility” means a rate-regulated electric utility. Qualifying facilities and AEP facilities shall be required to provide energy or capacity to an electric utility during a system emergency only to the extent: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15.9(1)</w:t>
      </w:r>
      <w:r>
        <w:rPr>
          <w:rFonts w:ascii="Times New Roman" w:hAnsi="Times New Roman"/>
          <w:b w:val="false"/>
          <w:i w:val="false"/>
          <w:color w:val="000000"/>
          <w:sz w:val="22"/>
        </w:rPr>
        <w:t> </w:t>
      </w:r>
      <w:r>
        <w:rPr>
          <w:rFonts w:ascii="Times New Roman" w:hAnsi="Times New Roman"/>
          <w:b w:val="false"/>
          <w:i w:val="false"/>
          <w:color w:val="000000"/>
          <w:sz w:val="22"/>
        </w:rPr>
        <w:t>Provided by agreement between the qualifying facility or AEP facility and the electric utility;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15.9(2)</w:t>
      </w:r>
      <w:r>
        <w:rPr>
          <w:rFonts w:ascii="Times New Roman" w:hAnsi="Times New Roman"/>
          <w:b w:val="false"/>
          <w:i w:val="false"/>
          <w:color w:val="000000"/>
          <w:sz w:val="22"/>
        </w:rPr>
        <w:t> </w:t>
      </w:r>
      <w:r>
        <w:rPr>
          <w:rFonts w:ascii="Times New Roman" w:hAnsi="Times New Roman"/>
          <w:b w:val="false"/>
          <w:i w:val="false"/>
          <w:color w:val="000000"/>
          <w:sz w:val="22"/>
        </w:rPr>
        <w:t>Ordered under Section 202(c) of the Federal Power Act. During any system emergency, an electric utility may immediately discontinue: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Purchases from qualifying facilities and AEP facilities if purchases would contribute to the emergency;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Sales to qualifying facilities and AEP facilities, provided that the discontinuance is on a nondiscriminatory basis.</w:t>
      </w:r>
    </w:p>
    <w:p>
      <w:pPr>
        <w:spacing w:before="0" w:after="0"/>
        <w:ind w:left="120"/>
        <w:jc w:val="both"/>
      </w:pPr>
      <w:r>
        <w:rPr>
          <w:rFonts w:ascii="Times New Roman" w:hAnsi="Times New Roman"/>
          <w:b/>
          <w:i w:val="false"/>
          <w:color w:val="000000"/>
          <w:sz w:val="22"/>
        </w:rPr>
        <w:t>199—15.10</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for interconnection, safety, and operating reliability. </w:t>
      </w:r>
      <w:r>
        <w:rPr>
          <w:rFonts w:ascii="Times New Roman" w:hAnsi="Times New Roman"/>
          <w:b w:val="false"/>
          <w:i w:val="false"/>
          <w:color w:val="000000"/>
          <w:sz w:val="22"/>
        </w:rPr>
        <w:t>For purposes of this rule, “electric utility” or “utility” means both rate-regulated and non-rate-regulated electric utilities.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15.10(1)</w:t>
      </w:r>
      <w:r>
        <w:rPr>
          <w:rFonts w:ascii="Times New Roman" w:hAnsi="Times New Roman"/>
          <w:b w:val="false"/>
          <w:i w:val="false"/>
          <w:color w:val="000000"/>
          <w:sz w:val="22"/>
        </w:rPr>
        <w:t> </w:t>
      </w:r>
      <w:r>
        <w:rPr>
          <w:rFonts w:ascii="Times New Roman" w:hAnsi="Times New Roman"/>
          <w:b w:val="false"/>
          <w:i/>
          <w:color w:val="000000"/>
          <w:sz w:val="22"/>
        </w:rPr>
        <w:t xml:space="preserve">Acceptable standards. </w:t>
      </w:r>
      <w:r>
        <w:rPr>
          <w:rFonts w:ascii="Times New Roman" w:hAnsi="Times New Roman"/>
          <w:b w:val="false"/>
          <w:i w:val="false"/>
          <w:color w:val="000000"/>
          <w:sz w:val="22"/>
        </w:rPr>
        <w:t>The interconnection of distributed generation facilities and associated interconnection equipment to an electric utility system shall meet the applicable provisions of the publications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Standard for Interconnecting Distributed Resources with Electric Power Systems, IEEE Standard 1547. For guidance in applying IEEE Standard 1547, the utility may refer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IEEE Recommended Practices and Requirements for Harmonic Control in Electrical Power Systems—IEEE Standard 519-2014;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IEC/TR3 61000-3-7 Assessment of Emission Limits for Fluctuating Loads in MV and HV Power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Iowa Electrical Safety Code, as defined in </w:t>
      </w:r>
      <w:hyperlink r:id="rId21">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National Electrical Code, ANSI/NFPA 70-2014.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15.10(2)</w:t>
      </w:r>
      <w:r>
        <w:rPr>
          <w:rFonts w:ascii="Times New Roman" w:hAnsi="Times New Roman"/>
          <w:b w:val="false"/>
          <w:i w:val="false"/>
          <w:color w:val="000000"/>
          <w:sz w:val="22"/>
        </w:rPr>
        <w:t> </w:t>
      </w:r>
      <w:r>
        <w:rPr>
          <w:rFonts w:ascii="Times New Roman" w:hAnsi="Times New Roman"/>
          <w:b w:val="false"/>
          <w:i/>
          <w:color w:val="000000"/>
          <w:sz w:val="22"/>
        </w:rPr>
        <w:t xml:space="preserve">Modifications required.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7/23/03</w:t>
      </w:r>
      <w:r>
        <w:rPr>
          <w:rFonts w:ascii="Times New Roman" w:hAnsi="Times New Roman"/>
          <w:b w:val="false"/>
          <w:i w:val="false"/>
          <w:color w:val="000000"/>
          <w:sz w:val="22"/>
        </w:rPr>
        <w:t>, effective 8/27/03.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15.10(3)</w:t>
      </w:r>
      <w:r>
        <w:rPr>
          <w:rFonts w:ascii="Times New Roman" w:hAnsi="Times New Roman"/>
          <w:b w:val="false"/>
          <w:i w:val="false"/>
          <w:color w:val="000000"/>
          <w:sz w:val="22"/>
        </w:rPr>
        <w:t> </w:t>
      </w:r>
      <w:r>
        <w:rPr>
          <w:rFonts w:ascii="Times New Roman" w:hAnsi="Times New Roman"/>
          <w:b w:val="false"/>
          <w:i/>
          <w:color w:val="000000"/>
          <w:sz w:val="22"/>
        </w:rPr>
        <w:t xml:space="preserve">Interconnection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A distributed generation facility placed in service after July 1, 2015, is required to have installed a disconnection device. The disconnection device shall be installed, owned, and maintained by the owner of the distributed generation facility and shall be easily visible and adjacent to an interconnection customer’s electric meter at the facility. Disconnection devices are considered easily visible and adjacent: for a home or business, up to ten feet away from the meter and within the line of sight of the meter, at a height of 30 inches to 72 inches above final grade; or for large areas with multiple buildings that require electric service, up to 30 feet away from the meter and within the line of sight of the meter, at a height of 30 inches to 72 inches above final grade. The disconnection device shall be labeled with a permanently attached sign with clearly visible letters that gives procedures/directions for disconnecting the distributed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an interconnection customer with distributed generation facilities installed prior to July 1, 2015, adds generation capacity to its existing system that does not require upgrades to the electric meter or electrical service, a disconnection device is not required, unless required by the electric utility’s tariff. The customer must notify the electric utility before the generation capacity is added to the existing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interconnection customer with distributed generation facilities installed prior to July 1, 2015, upgrades or changes its electric service, the new or modified electric service must meet all current utility electric service rule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all distributed generation installations, the customer shall be required to provide and place a permanent placard no more than ten feet away from the electric meter. The placard must be visible from the electric meter. The placard must clearly identify the presence and location of the disconnection device for the distributed generation facilities on the property. The placard must be made of material that is suitable for the environment and must be designed to last for the duration of the anticipated operating life of the distributed generation facility. If no disconnection device is present, the placard shall state “no disconnection device”.</w:t>
      </w:r>
    </w:p>
    <w:p>
      <w:pPr>
        <w:spacing w:before="0" w:after="0"/>
        <w:ind w:left="120"/>
        <w:jc w:val="both"/>
      </w:pPr>
      <w:r>
        <w:rPr>
          <w:rFonts w:ascii="Times New Roman" w:hAnsi="Times New Roman"/>
          <w:b w:val="false"/>
          <w:i w:val="false"/>
          <w:color w:val="000000"/>
          <w:sz w:val="22"/>
        </w:rPr>
        <w:t>If the distributed generation facility is not installed near the electric meter, an additional placard must be placed at the electric meter to provide specific information regarding the distributed generation facility and the disconnection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interconnection shall include overcurrent devices on the facility to automatically disconnect the facility at all currents that exceed the full-load current rating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Distributed generation facilities with a design capacity of 100 kilowatts or less must be equipped with automatic disconnection upon loss of electric utility-supplied voltage.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Those facilities that produce a terminal voltage prior to the closure of the interconnection shall be provided with synchronism-check devices to prevent closure of the interconnection under conditions other than a reasonable degree of synchronization between the voltages on each side of the interconnection switch.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15.10(4)</w:t>
      </w:r>
      <w:r>
        <w:rPr>
          <w:rFonts w:ascii="Times New Roman" w:hAnsi="Times New Roman"/>
          <w:b w:val="false"/>
          <w:i w:val="false"/>
          <w:color w:val="000000"/>
          <w:sz w:val="22"/>
        </w:rPr>
        <w:t> </w:t>
      </w:r>
      <w:r>
        <w:rPr>
          <w:rFonts w:ascii="Times New Roman" w:hAnsi="Times New Roman"/>
          <w:b w:val="false"/>
          <w:i/>
          <w:color w:val="000000"/>
          <w:sz w:val="22"/>
        </w:rPr>
        <w:t xml:space="preserve">Access. </w:t>
      </w:r>
      <w:r>
        <w:rPr>
          <w:rFonts w:ascii="Times New Roman" w:hAnsi="Times New Roman"/>
          <w:b w:val="false"/>
          <w:i w:val="false"/>
          <w:color w:val="000000"/>
          <w:sz w:val="22"/>
        </w:rPr>
        <w:t>If a disconnection device is required, the operator of the distributed generation facility, the utility, and emergency personnel shall have access to the disconnection device at all times. For distributed generation facilities installed prior to July 1, 2015, an interconnection customer may elect to provide the utility with access to a disconnection device that is contained in a building or area that may be unoccupied and locked or not otherwise accessible to the utility by installing a lockbox provided by the utility that allows ready access to the disconnection device. The lockbox shall be in a location determined by the utility, in consultation with the customer, to be accessible by the utility. The interconnection customer shall permit the utility to affix a placard in a location of the utility’s choosing that provides instructions to utility operating personnel for accessing the disconnection device. If the utility needs to isolate the distributed generation facility, the utility shall not be held liable for any damages resulting from the actions necessary to isolate the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15.10(5)</w:t>
      </w:r>
      <w:r>
        <w:rPr>
          <w:rFonts w:ascii="Times New Roman" w:hAnsi="Times New Roman"/>
          <w:b w:val="false"/>
          <w:i w:val="false"/>
          <w:color w:val="000000"/>
          <w:sz w:val="22"/>
        </w:rPr>
        <w:t> </w:t>
      </w:r>
      <w:r>
        <w:rPr>
          <w:rFonts w:ascii="Times New Roman" w:hAnsi="Times New Roman"/>
          <w:b w:val="false"/>
          <w:i/>
          <w:color w:val="000000"/>
          <w:sz w:val="22"/>
        </w:rPr>
        <w:t xml:space="preserve">Inspections and testing. </w:t>
      </w:r>
      <w:r>
        <w:rPr>
          <w:rFonts w:ascii="Times New Roman" w:hAnsi="Times New Roman"/>
          <w:b w:val="false"/>
          <w:i w:val="false"/>
          <w:color w:val="000000"/>
          <w:sz w:val="22"/>
        </w:rPr>
        <w:t xml:space="preserve">The operator of the distributed generation facility shall adopt a program of inspection and testing of the generator and its appurtenances and the interconnection facilities in order to determine necessity for replacement and repair. Such a program shall include all periodic tests and maintenance prescribed by the manufacturer. If the periodic testing of interconnection-related protective functions is not specified by the manufacturer, periodic testing shall occur at least once every five years. All interconnection-related protective functions shall be periodically tested, and a system that depends upon a battery for trip power shall be checked and logged. The operator shall maintain test reports and shall make them available upon request by the electric utility. Representatives of the utility shall have access at all reasonable hours to the interconnection equipment specified in subrule </w:t>
      </w:r>
      <w:hyperlink r:id="rId22">
        <w:r>
          <w:rPr>
            <w:rStyle w:val="Hyperlink"/>
            <w:rFonts w:ascii="Times New Roman" w:hAnsi="Times New Roman"/>
            <w:b w:val="false"/>
            <w:i w:val="false"/>
            <w:color w:val="000000"/>
            <w:sz w:val="22"/>
          </w:rPr>
          <w:t>15.10(3)</w:t>
        </w:r>
      </w:hyperlink>
      <w:r>
        <w:rPr>
          <w:rFonts w:ascii="Times New Roman" w:hAnsi="Times New Roman"/>
          <w:b w:val="false"/>
          <w:i w:val="false"/>
          <w:color w:val="000000"/>
          <w:sz w:val="22"/>
        </w:rPr>
        <w:t xml:space="preserve"> for inspection and testing with reasonable prior notice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15.10(6)</w:t>
      </w:r>
      <w:r>
        <w:rPr>
          <w:rFonts w:ascii="Times New Roman" w:hAnsi="Times New Roman"/>
          <w:b w:val="false"/>
          <w:i w:val="false"/>
          <w:color w:val="000000"/>
          <w:sz w:val="22"/>
        </w:rPr>
        <w:t> </w:t>
      </w:r>
      <w:r>
        <w:rPr>
          <w:rFonts w:ascii="Times New Roman" w:hAnsi="Times New Roman"/>
          <w:b w:val="false"/>
          <w:i/>
          <w:color w:val="000000"/>
          <w:sz w:val="22"/>
        </w:rPr>
        <w:t xml:space="preserve">Emergency disconnection. </w:t>
      </w:r>
      <w:r>
        <w:rPr>
          <w:rFonts w:ascii="Times New Roman" w:hAnsi="Times New Roman"/>
          <w:b w:val="false"/>
          <w:i w:val="false"/>
          <w:color w:val="000000"/>
          <w:sz w:val="22"/>
        </w:rPr>
        <w:t>In the event that an electric utility or its customers experience problems of a type that could be caused by the presence of alternating currents or voltages with a frequency higher than 60 Hertz, the utility shall be permitted to open and lock the interconnection switch pending a complete investigation of the problem. Where the utility believes the condition creates a hazard to the public or to property, the disconnection may be made without prior notice. However, the utility shall notify the operator of the distributed generation facility by written notice and, where possible, verbal notice as soon as practicable after the disconnections.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15.10(7)</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When the distributed generation facility is placed in service, owners of interconnected distributed generation facilities are required to notify local fire departments via U.S. mail of the location of distributed generation facilities and the associated disconnection device(s). The owner is required to provide any information related to the distributed generation facility as reasonably required by that local fire department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site map showing property address; service point from utility company; distributed generation facility and disconnect location(s); location of rapid shutdown and battery disconnect(s), if applicable; property owner’s or owner’s representative’s emergency contact information; utility company’s emergency telephone number; and size of the distributed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to access the disconnection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from the owner verifying that the distributed generation facility was installed in accordance with the current state-adopted National Electrical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15.10(8)</w:t>
      </w:r>
      <w:r>
        <w:rPr>
          <w:rFonts w:ascii="Times New Roman" w:hAnsi="Times New Roman"/>
          <w:b w:val="false"/>
          <w:i w:val="false"/>
          <w:color w:val="000000"/>
          <w:sz w:val="22"/>
        </w:rPr>
        <w:t> </w:t>
      </w:r>
      <w:r>
        <w:rPr>
          <w:rFonts w:ascii="Times New Roman" w:hAnsi="Times New Roman"/>
          <w:b w:val="false"/>
          <w:i/>
          <w:color w:val="000000"/>
          <w:sz w:val="22"/>
        </w:rPr>
        <w:t xml:space="preserve">Disconnections. </w:t>
      </w:r>
      <w:r>
        <w:rPr>
          <w:rFonts w:ascii="Times New Roman" w:hAnsi="Times New Roman"/>
          <w:b w:val="false"/>
          <w:i w:val="false"/>
          <w:color w:val="000000"/>
          <w:sz w:val="22"/>
        </w:rPr>
        <w:t xml:space="preserve">If an interconnection customer fails to comply with the foregoing requirements of this rule, the electric utility may require disconnection of the applicant’s distributed generation facility until the facility complies with this rule. The disconnection process shall be specified in individual electric utility tariffs or in the interconnection agreement. If separate disconnection of only the distributed generation facility is not feasible or safe, the customer’s electric service may be disconnected as provided in </w:t>
      </w:r>
      <w:hyperlink r:id="rId23">
        <w:r>
          <w:rPr>
            <w:rStyle w:val="Hyperlink"/>
            <w:rFonts w:ascii="Times New Roman" w:hAnsi="Times New Roman"/>
            <w:b w:val="false"/>
            <w:i w:val="false"/>
            <w:color w:val="000000"/>
            <w:sz w:val="22"/>
          </w:rPr>
          <w:t>199—Chapter 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15.10(9)</w:t>
      </w:r>
      <w:r>
        <w:rPr>
          <w:rFonts w:ascii="Times New Roman" w:hAnsi="Times New Roman"/>
          <w:b w:val="false"/>
          <w:i w:val="false"/>
          <w:color w:val="000000"/>
          <w:sz w:val="22"/>
        </w:rPr>
        <w:t> </w:t>
      </w:r>
      <w:r>
        <w:rPr>
          <w:rFonts w:ascii="Times New Roman" w:hAnsi="Times New Roman"/>
          <w:b w:val="false"/>
          <w:i/>
          <w:color w:val="000000"/>
          <w:sz w:val="22"/>
        </w:rPr>
        <w:t xml:space="preserve">Reconnections. </w:t>
      </w:r>
      <w:r>
        <w:rPr>
          <w:rFonts w:ascii="Times New Roman" w:hAnsi="Times New Roman"/>
          <w:b w:val="false"/>
          <w:i w:val="false"/>
          <w:color w:val="000000"/>
          <w:sz w:val="22"/>
        </w:rPr>
        <w:t>If a customer’s distributed generation facility or electric service is disconnected due to noncompliance with this rule, the customer shall be responsible for payment of any costs associated with reconnection once the facility is in compliance with the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1359C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3694C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199—15.11</w:t>
      </w:r>
      <w:r>
        <w:rPr>
          <w:rFonts w:ascii="Times New Roman" w:hAnsi="Times New Roman"/>
          <w:b/>
          <w:i w:val="false"/>
          <w:color w:val="000000"/>
          <w:sz w:val="22"/>
        </w:rPr>
        <w:t xml:space="preserve">(476) </w:t>
      </w:r>
      <w:r>
        <w:rPr>
          <w:rFonts w:ascii="Times New Roman" w:hAnsi="Times New Roman"/>
          <w:b/>
          <w:i w:val="false"/>
          <w:color w:val="000000"/>
          <w:sz w:val="22"/>
        </w:rPr>
        <w:t xml:space="preserve">Additional rate-regulated utility obligations regarding AEP facilities. </w:t>
      </w:r>
      <w:r>
        <w:rPr>
          <w:rFonts w:ascii="Times New Roman" w:hAnsi="Times New Roman"/>
          <w:b w:val="false"/>
          <w:i w:val="false"/>
          <w:color w:val="000000"/>
          <w:sz w:val="22"/>
        </w:rPr>
        <w:t>For purposes of this rule, “MW” means megawatt, “MWH” means megawatt-hour, and “utility” means a rate-regulated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15.11(1)</w:t>
      </w:r>
      <w:r>
        <w:rPr>
          <w:rFonts w:ascii="Times New Roman" w:hAnsi="Times New Roman"/>
          <w:b w:val="false"/>
          <w:i w:val="false"/>
          <w:color w:val="000000"/>
          <w:sz w:val="22"/>
        </w:rPr>
        <w:t> </w:t>
      </w:r>
      <w:r>
        <w:rPr>
          <w:rFonts w:ascii="Times New Roman" w:hAnsi="Times New Roman"/>
          <w:b w:val="false"/>
          <w:i/>
          <w:color w:val="000000"/>
          <w:sz w:val="22"/>
        </w:rPr>
        <w:t xml:space="preserve">Obligation to purchase from AEP facilities. </w:t>
      </w:r>
      <w:r>
        <w:rPr>
          <w:rFonts w:ascii="Times New Roman" w:hAnsi="Times New Roman"/>
          <w:b w:val="false"/>
          <w:i w:val="false"/>
          <w:color w:val="000000"/>
          <w:sz w:val="22"/>
        </w:rPr>
        <w:t>Each utility shall purchase, pursuant to contract, its share of at least 105 MW of AEP generating capacity and associated energy production. The utility’s share of 105 MW is based on the utility’s estimated percentage share of Iowa peak demand, which is based on the utility’s highest monthly peak shown in its 1990 FERC Form 1 annual report, and on its related Iowa sales and total company sales and losses shown in its 1990 FERC Form 1 and IE-1 annual reports. Each utility’s share of the 105 MW is determined to be as follows:</w:t>
      </w:r>
    </w:p>
    <w:tbl>
      <w:tblPr>
        <w:tblW w:w="5000" w:type="pct"/>
        <w:tblCellSpacing w:w="0" w:type="auto"/>
        <w:tblBorders>
          <w:top w:val="none"/>
          <w:left w:val="none"/>
          <w:bottom w:val="none"/>
          <w:right w:val="none"/>
          <w:insideH w:val="none"/>
          <w:insideV w:val="none"/>
        </w:tblBorders>
        <w:tblLayout w:type="fixed"/>
      </w:tblPr>
      <w:tblGrid>
        <w:gridCol w:w="5522"/>
        <w:gridCol w:w="2834"/>
        <w:gridCol w:w="2834"/>
      </w:tblGrid>
      <w:tr>
        <w:trPr>
          <w:trHeight w:val="480" w:hRule="atLeast"/>
        </w:trPr>
        <w:tc>
          <w:tcPr>
            <w:tcW w:w="55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28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xml:space="preserve">Percentage Share of </w:t>
            </w:r>
            <w:r>
              <w:rPr>
                <w:rFonts w:ascii="Times New Roman" w:hAnsi="Times New Roman"/>
                <w:b w:val="false"/>
                <w:i w:val="false"/>
                <w:color w:val="000000"/>
                <w:sz w:val="20"/>
                <w:u w:val="single"/>
              </w:rPr>
              <w:t>Iowa Peak</w:t>
            </w:r>
          </w:p>
        </w:tc>
        <w:tc>
          <w:tcPr>
            <w:tcW w:w="2834"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Utility Share of</w:t>
            </w:r>
          </w:p>
          <w:p>
            <w:pPr>
              <w:spacing w:before="0" w:after="0"/>
              <w:ind w:left="160"/>
              <w:jc w:val="center"/>
            </w:pPr>
            <w:r>
              <w:rPr>
                <w:rFonts w:ascii="Times New Roman" w:hAnsi="Times New Roman"/>
                <w:b w:val="false"/>
                <w:i w:val="false"/>
                <w:color w:val="000000"/>
                <w:sz w:val="20"/>
                <w:u w:val="single"/>
              </w:rPr>
              <w:t>105 MW</w:t>
            </w:r>
          </w:p>
        </w:tc>
      </w:tr>
      <w:tr>
        <w:trPr>
          <w:trHeight w:val="255" w:hRule="atLeast"/>
        </w:trPr>
        <w:tc>
          <w:tcPr>
            <w:tcW w:w="55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Interstate Power and Light</w:t>
            </w:r>
          </w:p>
        </w:tc>
        <w:tc>
          <w:tcPr>
            <w:tcW w:w="28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47.43%</w:t>
            </w:r>
          </w:p>
        </w:tc>
        <w:tc>
          <w:tcPr>
            <w:tcW w:w="28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49.8 MW</w:t>
            </w:r>
          </w:p>
        </w:tc>
      </w:tr>
      <w:tr>
        <w:trPr>
          <w:trHeight w:val="255" w:hRule="atLeast"/>
        </w:trPr>
        <w:tc>
          <w:tcPr>
            <w:tcW w:w="55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MidAmerican Energy</w:t>
            </w:r>
          </w:p>
        </w:tc>
        <w:tc>
          <w:tcPr>
            <w:tcW w:w="28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52.57%</w:t>
            </w:r>
          </w:p>
        </w:tc>
        <w:tc>
          <w:tcPr>
            <w:tcW w:w="28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55.2 MW</w:t>
            </w:r>
          </w:p>
        </w:tc>
      </w:tr>
    </w:tbl>
    <w:p>
      <w:pPr>
        <w:spacing w:before="0" w:after="0"/>
        <w:ind w:left="120"/>
        <w:jc w:val="both"/>
      </w:pPr>
      <w:r>
        <w:rPr>
          <w:rFonts w:ascii="Times New Roman" w:hAnsi="Times New Roman"/>
          <w:b w:val="false"/>
          <w:i w:val="false"/>
          <w:color w:val="000000"/>
          <w:sz w:val="22"/>
        </w:rPr>
        <w:t>A utility is not required to purchase from an AEP facility that is not owned or operated by an individual, firm, copartnership, corporation, company, association, joint stock association, city, town, or county that meets both of the following: (1) is not primarily engaged in the business of producing or selling electricity, gas, or useful thermal energy other than electricity, gas, or useful thermal energy sold solely from AEP facilities; and (2) does not sell electricity, gas, or useful thermal energy to residential users other than the tenants or the owner or operator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15.11(2)</w:t>
      </w:r>
      <w:r>
        <w:rPr>
          <w:rFonts w:ascii="Times New Roman" w:hAnsi="Times New Roman"/>
          <w:b w:val="false"/>
          <w:i w:val="false"/>
          <w:color w:val="000000"/>
          <w:sz w:val="22"/>
        </w:rPr>
        <w:t> </w:t>
      </w:r>
      <w:r>
        <w:rPr>
          <w:rFonts w:ascii="Times New Roman" w:hAnsi="Times New Roman"/>
          <w:b w:val="false"/>
          <w:i/>
          <w:color w:val="000000"/>
          <w:sz w:val="22"/>
        </w:rPr>
        <w:t xml:space="preserve">Purchases pursuant to a legally enforceable obligation. </w:t>
      </w:r>
      <w:r>
        <w:rPr>
          <w:rFonts w:ascii="Times New Roman" w:hAnsi="Times New Roman"/>
          <w:b w:val="false"/>
          <w:i w:val="false"/>
          <w:color w:val="000000"/>
          <w:sz w:val="22"/>
        </w:rPr>
        <w:t>Each AEP facility shall provide electricity on a best-efforts basis pursuant to a legally enforceable obligation for the delivery of electricity over a specified contract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15.11(3)</w:t>
      </w:r>
      <w:r>
        <w:rPr>
          <w:rFonts w:ascii="Times New Roman" w:hAnsi="Times New Roman"/>
          <w:b w:val="false"/>
          <w:i w:val="false"/>
          <w:color w:val="000000"/>
          <w:sz w:val="22"/>
        </w:rPr>
        <w:t> </w:t>
      </w:r>
      <w:r>
        <w:rPr>
          <w:rFonts w:ascii="Times New Roman" w:hAnsi="Times New Roman"/>
          <w:b w:val="false"/>
          <w:i/>
          <w:color w:val="000000"/>
          <w:sz w:val="22"/>
        </w:rPr>
        <w:t xml:space="preserve">Annual reporting requirement. </w:t>
      </w:r>
      <w:r>
        <w:rPr>
          <w:rFonts w:ascii="Times New Roman" w:hAnsi="Times New Roman"/>
          <w:b w:val="false"/>
          <w:i w:val="false"/>
          <w:color w:val="000000"/>
          <w:sz w:val="22"/>
        </w:rPr>
        <w:t>Beginning April 1, 2004, each utility shall file an annual report listing nameplate MW capacity and associated monthly MWH purchased from AEP facilities, itemized by AEP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15.11(4)</w:t>
      </w:r>
      <w:r>
        <w:rPr>
          <w:rFonts w:ascii="Times New Roman" w:hAnsi="Times New Roman"/>
          <w:b w:val="false"/>
          <w:i w:val="false"/>
          <w:color w:val="000000"/>
          <w:sz w:val="22"/>
        </w:rPr>
        <w:t> </w:t>
      </w:r>
      <w:r>
        <w:rPr>
          <w:rFonts w:ascii="Times New Roman" w:hAnsi="Times New Roman"/>
          <w:b w:val="false"/>
          <w:i/>
          <w:color w:val="000000"/>
          <w:sz w:val="22"/>
        </w:rPr>
        <w:t xml:space="preserve">Tariff filings.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6/16/10</w:t>
      </w:r>
      <w:r>
        <w:rPr>
          <w:rFonts w:ascii="Times New Roman" w:hAnsi="Times New Roman"/>
          <w:b w:val="false"/>
          <w:i w:val="false"/>
          <w:color w:val="000000"/>
          <w:sz w:val="22"/>
        </w:rPr>
        <w:t>, effective 7/21/10.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15.11(5)</w:t>
      </w:r>
      <w:r>
        <w:rPr>
          <w:rFonts w:ascii="Times New Roman" w:hAnsi="Times New Roman"/>
          <w:b w:val="false"/>
          <w:i w:val="false"/>
          <w:color w:val="000000"/>
          <w:sz w:val="22"/>
        </w:rPr>
        <w:t> </w:t>
      </w:r>
      <w:r>
        <w:rPr>
          <w:rFonts w:ascii="Times New Roman" w:hAnsi="Times New Roman"/>
          <w:b w:val="false"/>
          <w:i/>
          <w:color w:val="000000"/>
          <w:sz w:val="22"/>
        </w:rPr>
        <w:t xml:space="preserve">Net metering. </w:t>
      </w:r>
      <w:r>
        <w:rPr>
          <w:rFonts w:ascii="Times New Roman" w:hAnsi="Times New Roman"/>
          <w:b w:val="false"/>
          <w:i w:val="false"/>
          <w:color w:val="000000"/>
          <w:sz w:val="22"/>
        </w:rPr>
        <w:t>Each utility shall offer to operate in parallel through net metering (with a single meter monitoring only the net amount of electricity sold or purchased) with an AEP facility, provided that the facility complies with any applicable standards established in accordance with these rules.</w:t>
      </w:r>
    </w:p>
    <w:p>
      <w:pPr>
        <w:spacing w:before="0" w:after="0"/>
        <w:ind w:left="120"/>
        <w:jc w:val="both"/>
      </w:pPr>
      <w:r>
        <w:rPr>
          <w:rFonts w:ascii="Times New Roman" w:hAnsi="Times New Roman"/>
          <w:b w:val="false"/>
          <w:i w:val="false"/>
          <w:color w:val="000000"/>
          <w:sz w:val="22"/>
        </w:rPr>
        <w:t>In the alternative, by choice of the facility, the utility and facility shall operate in a purchase and sale arrangement whereby any electricity provided to the utility by the AEP facility is sold to the utility at the fixed or negotiated buy-back rate, and any electricity provided to the AEP facility by the utility is sold to the facility at the tariffed rate.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199—15.12</w:t>
      </w:r>
      <w:r>
        <w:rPr>
          <w:rFonts w:ascii="Times New Roman" w:hAnsi="Times New Roman"/>
          <w:b/>
          <w:i w:val="false"/>
          <w:color w:val="000000"/>
          <w:sz w:val="22"/>
        </w:rPr>
        <w:t xml:space="preserve">(476) </w:t>
      </w:r>
      <w:r>
        <w:rPr>
          <w:rFonts w:ascii="Times New Roman" w:hAnsi="Times New Roman"/>
          <w:b/>
          <w:i w:val="false"/>
          <w:color w:val="000000"/>
          <w:sz w:val="22"/>
        </w:rPr>
        <w:t xml:space="preserve">Rates for purchases from qualifying alternate energy and small hydro facilities by rate-regulated electric utilities.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7/23/03</w:t>
      </w:r>
      <w:r>
        <w:rPr>
          <w:rFonts w:ascii="Times New Roman" w:hAnsi="Times New Roman"/>
          <w:b w:val="false"/>
          <w:i w:val="false"/>
          <w:color w:val="000000"/>
          <w:sz w:val="22"/>
        </w:rPr>
        <w:t>, effective 8/27/03.</w:t>
      </w:r>
    </w:p>
    <w:p>
      <w:pPr>
        <w:spacing w:before="210" w:after="0"/>
        <w:ind w:left="120"/>
        <w:jc w:val="both"/>
      </w:pPr>
      <w:r>
        <w:rPr>
          <w:rFonts w:ascii="Times New Roman" w:hAnsi="Times New Roman"/>
          <w:b/>
          <w:i w:val="false"/>
          <w:color w:val="000000"/>
          <w:sz w:val="22"/>
        </w:rPr>
        <w:t>199—15.13</w:t>
      </w:r>
      <w:r>
        <w:rPr>
          <w:rFonts w:ascii="Times New Roman" w:hAnsi="Times New Roman"/>
          <w:b/>
          <w:i w:val="false"/>
          <w:color w:val="000000"/>
          <w:sz w:val="22"/>
        </w:rPr>
        <w:t xml:space="preserve">(476) </w:t>
      </w:r>
      <w:r>
        <w:rPr>
          <w:rFonts w:ascii="Times New Roman" w:hAnsi="Times New Roman"/>
          <w:b/>
          <w:i w:val="false"/>
          <w:color w:val="000000"/>
          <w:sz w:val="22"/>
        </w:rPr>
        <w:t xml:space="preserve">Rates for sales to qualifying alternate energy production and small hydro facilities by rate-regulated utilities.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7/23/03</w:t>
      </w:r>
      <w:r>
        <w:rPr>
          <w:rFonts w:ascii="Times New Roman" w:hAnsi="Times New Roman"/>
          <w:b w:val="false"/>
          <w:i w:val="false"/>
          <w:color w:val="000000"/>
          <w:sz w:val="22"/>
        </w:rPr>
        <w:t>, effective 8/27/03.</w:t>
      </w:r>
    </w:p>
    <w:p>
      <w:pPr>
        <w:spacing w:before="210" w:after="0"/>
        <w:ind w:left="120"/>
        <w:jc w:val="both"/>
      </w:pPr>
      <w:r>
        <w:rPr>
          <w:rFonts w:ascii="Times New Roman" w:hAnsi="Times New Roman"/>
          <w:b/>
          <w:i w:val="false"/>
          <w:color w:val="000000"/>
          <w:sz w:val="22"/>
        </w:rPr>
        <w:t>199—15.14</w:t>
      </w:r>
      <w:r>
        <w:rPr>
          <w:rFonts w:ascii="Times New Roman" w:hAnsi="Times New Roman"/>
          <w:b/>
          <w:i w:val="false"/>
          <w:color w:val="000000"/>
          <w:sz w:val="22"/>
        </w:rPr>
        <w:t xml:space="preserve">(476) </w:t>
      </w:r>
      <w:r>
        <w:rPr>
          <w:rFonts w:ascii="Times New Roman" w:hAnsi="Times New Roman"/>
          <w:b/>
          <w:i w:val="false"/>
          <w:color w:val="000000"/>
          <w:sz w:val="22"/>
        </w:rPr>
        <w:t xml:space="preserve">Additional services to be provided to qualifying alternate energy production and small hydro facilities.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7/23/03</w:t>
      </w:r>
      <w:r>
        <w:rPr>
          <w:rFonts w:ascii="Times New Roman" w:hAnsi="Times New Roman"/>
          <w:b w:val="false"/>
          <w:i w:val="false"/>
          <w:color w:val="000000"/>
          <w:sz w:val="22"/>
        </w:rPr>
        <w:t>, effective 8/27/03.</w:t>
      </w:r>
    </w:p>
    <w:p>
      <w:pPr>
        <w:spacing w:before="210" w:after="0"/>
        <w:ind w:left="120"/>
        <w:jc w:val="both"/>
      </w:pPr>
      <w:r>
        <w:rPr>
          <w:rFonts w:ascii="Times New Roman" w:hAnsi="Times New Roman"/>
          <w:b/>
          <w:i w:val="false"/>
          <w:color w:val="000000"/>
          <w:sz w:val="22"/>
        </w:rPr>
        <w:t>199—15.15</w:t>
      </w:r>
      <w:r>
        <w:rPr>
          <w:rFonts w:ascii="Times New Roman" w:hAnsi="Times New Roman"/>
          <w:b/>
          <w:i w:val="false"/>
          <w:color w:val="000000"/>
          <w:sz w:val="22"/>
        </w:rPr>
        <w:t xml:space="preserve">(476) </w:t>
      </w:r>
      <w:r>
        <w:rPr>
          <w:rFonts w:ascii="Times New Roman" w:hAnsi="Times New Roman"/>
          <w:b/>
          <w:i w:val="false"/>
          <w:color w:val="000000"/>
          <w:sz w:val="22"/>
        </w:rPr>
        <w:t xml:space="preserve">Interconnection costs.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7/23/03</w:t>
      </w:r>
      <w:r>
        <w:rPr>
          <w:rFonts w:ascii="Times New Roman" w:hAnsi="Times New Roman"/>
          <w:b w:val="false"/>
          <w:i w:val="false"/>
          <w:color w:val="000000"/>
          <w:sz w:val="22"/>
        </w:rPr>
        <w:t>, effective 8/27/03.</w:t>
      </w:r>
    </w:p>
    <w:p>
      <w:pPr>
        <w:spacing w:before="210" w:after="0"/>
        <w:ind w:left="120"/>
        <w:jc w:val="both"/>
      </w:pPr>
      <w:r>
        <w:rPr>
          <w:rFonts w:ascii="Times New Roman" w:hAnsi="Times New Roman"/>
          <w:b/>
          <w:i w:val="false"/>
          <w:color w:val="000000"/>
          <w:sz w:val="22"/>
        </w:rPr>
        <w:t>199—15.16</w:t>
      </w:r>
      <w:r>
        <w:rPr>
          <w:rFonts w:ascii="Times New Roman" w:hAnsi="Times New Roman"/>
          <w:b/>
          <w:i w:val="false"/>
          <w:color w:val="000000"/>
          <w:sz w:val="22"/>
        </w:rPr>
        <w:t xml:space="preserve">(476) </w:t>
      </w:r>
      <w:r>
        <w:rPr>
          <w:rFonts w:ascii="Times New Roman" w:hAnsi="Times New Roman"/>
          <w:b/>
          <w:i w:val="false"/>
          <w:color w:val="000000"/>
          <w:sz w:val="22"/>
        </w:rPr>
        <w:t xml:space="preserve">System emergencies.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7/23/03</w:t>
      </w:r>
      <w:r>
        <w:rPr>
          <w:rFonts w:ascii="Times New Roman" w:hAnsi="Times New Roman"/>
          <w:b w:val="false"/>
          <w:i w:val="false"/>
          <w:color w:val="000000"/>
          <w:sz w:val="22"/>
        </w:rPr>
        <w:t>, effective 8/27/03.</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4">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476.41 to 476.45</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546.7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Section 210 of the Public Utility Regulatory Policies Act of 1978</w:t>
      </w:r>
      <w:r>
        <w:rPr>
          <w:rFonts w:ascii="Times New Roman" w:hAnsi="Times New Roman"/>
          <w:b w:val="false"/>
          <w:i w:val="false"/>
          <w:color w:val="000000"/>
          <w:sz w:val="22"/>
        </w:rPr>
        <w:t xml:space="preserve">, and </w:t>
      </w:r>
      <w:r>
        <w:rPr>
          <w:rFonts w:ascii="Times New Roman" w:hAnsi="Times New Roman"/>
          <w:b w:val="false"/>
          <w:i w:val="false"/>
          <w:color w:val="000000"/>
          <w:sz w:val="22"/>
        </w:rPr>
        <w:t>18 CFR Part 292</w:t>
      </w:r>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199—15.17</w:t>
      </w:r>
      <w:r>
        <w:rPr>
          <w:rFonts w:ascii="Times New Roman" w:hAnsi="Times New Roman"/>
          <w:b/>
          <w:i w:val="false"/>
          <w:color w:val="000000"/>
          <w:sz w:val="22"/>
        </w:rPr>
        <w:t xml:space="preserve">(476) </w:t>
      </w:r>
      <w:r>
        <w:rPr>
          <w:rFonts w:ascii="Times New Roman" w:hAnsi="Times New Roman"/>
          <w:b/>
          <w:i w:val="false"/>
          <w:color w:val="000000"/>
          <w:sz w:val="22"/>
        </w:rPr>
        <w:t xml:space="preserve">Alternate energy purchase programs. </w:t>
      </w:r>
    </w:p>
    <w:p>
      <w:pPr>
        <w:spacing w:before="0" w:after="0"/>
        <w:ind w:left="120"/>
        <w:jc w:val="both"/>
      </w:pPr>
      <w:r>
        <w:rPr>
          <w:rFonts w:ascii="Times New Roman" w:hAnsi="Times New Roman"/>
          <w:b w:val="false"/>
          <w:i w:val="false"/>
          <w:color w:val="000000"/>
          <w:sz w:val="22"/>
        </w:rPr>
        <w:t>Any consumer-owned utility, including any electric cooperative corporation or association or any municipally owned electric utility, may apply to the commission for a waiver under this rule.</w:t>
      </w:r>
    </w:p>
    <w:p>
      <w:pPr>
        <w:spacing w:before="0" w:after="0"/>
        <w:ind w:left="120"/>
        <w:jc w:val="both"/>
      </w:pPr>
      <w:r>
        <w:rPr>
          <w:rFonts w:ascii="Times New Roman" w:hAnsi="Times New Roman"/>
          <w:b w:val="false"/>
          <w:i w:val="false"/>
          <w:color w:val="000000"/>
          <w:sz w:val="22"/>
        </w:rPr>
        <w:t>This rule shall not apply to non-rate-regulated electric utilities physically located outside of Iowa that serve Iowa customers.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15.17(1)</w:t>
      </w:r>
      <w:r>
        <w:rPr>
          <w:rFonts w:ascii="Times New Roman" w:hAnsi="Times New Roman"/>
          <w:b w:val="false"/>
          <w:i w:val="false"/>
          <w:color w:val="000000"/>
          <w:sz w:val="22"/>
        </w:rPr>
        <w:t> </w:t>
      </w:r>
      <w:r>
        <w:rPr>
          <w:rFonts w:ascii="Times New Roman" w:hAnsi="Times New Roman"/>
          <w:b w:val="false"/>
          <w:i/>
          <w:color w:val="000000"/>
          <w:sz w:val="22"/>
        </w:rPr>
        <w:t xml:space="preserve">Obligation to offer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Beginning January 1, 2004, each electric utility, whether or not subject to rate regulation by the commission, shall offer an alternate energy purchase program that allows customers to contribute voluntarily to the development of alternate energy in Iowa, and allows for the exceptions listed in paragraph </w:t>
      </w:r>
      <w:hyperlink r:id="rId28">
        <w:r>
          <w:rPr>
            <w:rStyle w:val="Hyperlink"/>
            <w:rFonts w:ascii="Times New Roman" w:hAnsi="Times New Roman"/>
            <w:b w:val="false"/>
            <w:i w:val="false"/>
            <w:color w:val="000000"/>
            <w:sz w:val="22"/>
          </w:rPr>
          <w:t>15.17(1)</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electric utility subject to rate regulation by the commission, except for utilities that elect rate regulation pursuant to Iowa Code section </w:t>
      </w:r>
      <w:hyperlink r:id="rId29">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shall demonstrate on an annual basis that it produces or purchases sufficient energy from program AEP facilities located in Iowa to meet the needs of its Iowa program. These Iowa-based AEP facilities shall not include AEP facilities for which the utility has sought cost recovery under rule </w:t>
      </w:r>
      <w:hyperlink r:id="rId30">
        <w:r>
          <w:rPr>
            <w:rStyle w:val="Hyperlink"/>
            <w:rFonts w:ascii="Times New Roman" w:hAnsi="Times New Roman"/>
            <w:b w:val="false"/>
            <w:i w:val="false"/>
            <w:color w:val="000000"/>
            <w:sz w:val="22"/>
          </w:rPr>
          <w:t>199—20.9</w:t>
        </w:r>
      </w:hyperlink>
      <w:r>
        <w:rPr>
          <w:rFonts w:ascii="Times New Roman" w:hAnsi="Times New Roman"/>
          <w:b w:val="false"/>
          <w:i w:val="false"/>
          <w:color w:val="000000"/>
          <w:sz w:val="22"/>
        </w:rPr>
        <w:t>(476) prior to July 1,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electric utility may partially or fully base its program on energy produced by AEP facilities located outside of Iowa under any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energy is purchased by the electric utility pursuant to a contract in effect prior to July 1, 2001, and continues until the expiration of the contract, including any options to renew that are exercised by the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electric utility has a financial interest, as of July 1, 2001, in an AEP facility that is located outside of Iowa or in an entity that has a financial interest in an AEP facility located outside of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energy is purchased by an electric utility that is not subject to rate regulation by the commission, or which elects rate regulation pursuant to Iowa Code section </w:t>
      </w:r>
      <w:hyperlink r:id="rId31">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and that is required to purchase all of its electric power requirements from one or more suppliers that are physically located outside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15.17(2)</w:t>
      </w:r>
      <w:r>
        <w:rPr>
          <w:rFonts w:ascii="Times New Roman" w:hAnsi="Times New Roman"/>
          <w:b w:val="false"/>
          <w:i w:val="false"/>
          <w:color w:val="000000"/>
          <w:sz w:val="22"/>
        </w:rPr>
        <w:t> </w:t>
      </w:r>
      <w:r>
        <w:rPr>
          <w:rFonts w:ascii="Times New Roman" w:hAnsi="Times New Roman"/>
          <w:b w:val="false"/>
          <w:i/>
          <w:color w:val="000000"/>
          <w:sz w:val="22"/>
        </w:rPr>
        <w:t xml:space="preserve">Customer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notify eligible customer classes of its alternate energy purchase program and proposed program modifications at least 60 days prior to implementation of the program or program modification. The notification shall include,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availability and purpose of the program or program modification, clarifying that customer contributions will not involve the direct sale of alternate energy to individual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program or program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Customer classes eligible for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Forms and levels of customer contribution available to program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utility telephone number for answering customers’ questions about the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Customer instructions that explain how to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notification requirements under paragraph </w:t>
      </w:r>
      <w:hyperlink r:id="rId32">
        <w:r>
          <w:rPr>
            <w:rStyle w:val="Hyperlink"/>
            <w:rFonts w:ascii="Times New Roman" w:hAnsi="Times New Roman"/>
            <w:b w:val="false"/>
            <w:i w:val="false"/>
            <w:color w:val="000000"/>
            <w:sz w:val="22"/>
          </w:rPr>
          <w:t>15.17(2)</w:t>
        </w:r>
        <w:r>
          <w:rPr>
            <w:rFonts w:ascii="Times New Roman" w:hAnsi="Times New Roman"/>
            <w:b w:val="false"/>
            <w:i/>
            <w:color w:val="000000"/>
            <w:sz w:val="22"/>
          </w:rPr>
          <w:t>“a,”</w:t>
        </w:r>
      </w:hyperlink>
      <w:r>
        <w:rPr>
          <w:rFonts w:ascii="Times New Roman" w:hAnsi="Times New Roman"/>
          <w:b w:val="false"/>
          <w:i w:val="false"/>
          <w:color w:val="000000"/>
          <w:sz w:val="22"/>
        </w:rPr>
        <w:t xml:space="preserve"> each electric utility subject to rate regulation by the commission, excluding utilities that elect rate regulation pursuant to Iowa Code section </w:t>
      </w:r>
      <w:hyperlink r:id="rId33">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fuel report information described under subrule </w:t>
      </w:r>
      <w:hyperlink r:id="rId34">
        <w:r>
          <w:rPr>
            <w:rStyle w:val="Hyperlink"/>
            <w:rFonts w:ascii="Times New Roman" w:hAnsi="Times New Roman"/>
            <w:b w:val="false"/>
            <w:i w:val="false"/>
            <w:color w:val="000000"/>
            <w:sz w:val="22"/>
          </w:rPr>
          <w:t>15.17(5)</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the proposed notification to the commission for approval at least 30 days prior to the proposed date of issuance of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15.17(3)</w:t>
      </w:r>
      <w:r>
        <w:rPr>
          <w:rFonts w:ascii="Times New Roman" w:hAnsi="Times New Roman"/>
          <w:b w:val="false"/>
          <w:i w:val="false"/>
          <w:color w:val="000000"/>
          <w:sz w:val="22"/>
        </w:rPr>
        <w:t> </w:t>
      </w:r>
      <w:r>
        <w:rPr>
          <w:rFonts w:ascii="Times New Roman" w:hAnsi="Times New Roman"/>
          <w:b w:val="false"/>
          <w:i/>
          <w:color w:val="000000"/>
          <w:sz w:val="22"/>
        </w:rPr>
        <w:t xml:space="preserve">Program plan filing requirements for rate-regulated utilities. </w:t>
      </w:r>
      <w:r>
        <w:rPr>
          <w:rFonts w:ascii="Times New Roman" w:hAnsi="Times New Roman"/>
          <w:b w:val="false"/>
          <w:i w:val="false"/>
          <w:color w:val="000000"/>
          <w:sz w:val="22"/>
        </w:rPr>
        <w:t xml:space="preserve">On or before October 1, 2003, each electric utility subject to rate regulation by the commission, excluding utilities that elect rate regulation pursuant to Iowa Code section </w:t>
      </w:r>
      <w:hyperlink r:id="rId35">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shall file with the commission a plan for the utility’s alternate energy purchase program. Initial program plans and any subsequent modifications will be subject to commission approval. Modification filings need only include information about elements of the program that are being modified. The initial program plan filing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tariff;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sample of the customer notification, including a description of the method of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Customer classes eligible for participation and the schedule for extending participation to all customer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each AEP facility used for the program,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Fuel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Nameplate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Estimated annual kWh output;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Estimated in-service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Ownership, including any utility affiliation;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copy of any contract for utility purchases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description of the method or procedure used to select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Facility location;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facility is located outside of Iowa, an explanation of how the facility qualifies under paragraph </w:t>
      </w:r>
      <w:hyperlink r:id="rId36">
        <w:r>
          <w:rPr>
            <w:rStyle w:val="Hyperlink"/>
            <w:rFonts w:ascii="Times New Roman" w:hAnsi="Times New Roman"/>
            <w:b w:val="false"/>
            <w:i w:val="false"/>
            <w:color w:val="000000"/>
            <w:sz w:val="22"/>
          </w:rPr>
          <w:t>15.17(1)</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forms and levels of customer contribution available to program participants,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kWh rate premiums applied to percentages of participant kWh usage, with an explanation of how the kWh rate premiums are derived;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kWh rate premiums applied to fixed kWh blocks of participant usage, with an explanation of how the kWh rate premiums are derived;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Fixed contributions, with an explanation of how the fixed amounts are derived;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maximum allowable time lag between the beginning of customer contributions and the in-service date for identified AEP facilities, and the procedures for suspending customer contributions if the maximum time lag is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intended treatment of program participants under </w:t>
      </w:r>
      <w:hyperlink r:id="rId37">
        <w:r>
          <w:rPr>
            <w:rStyle w:val="Hyperlink"/>
            <w:rFonts w:ascii="Times New Roman" w:hAnsi="Times New Roman"/>
            <w:b w:val="false"/>
            <w:i w:val="false"/>
            <w:color w:val="000000"/>
            <w:sz w:val="22"/>
          </w:rPr>
          <w:t>199—20.9</w:t>
        </w:r>
      </w:hyperlink>
      <w:r>
        <w:rPr>
          <w:rFonts w:ascii="Times New Roman" w:hAnsi="Times New Roman"/>
          <w:b w:val="false"/>
          <w:i w:val="false"/>
          <w:color w:val="000000"/>
          <w:sz w:val="22"/>
        </w:rPr>
        <w:t>(476) energy automatic adjustment and AEP automatic adjustment clauses;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accounting plan for identifying and tracking participant contributions and program costs,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incremental program costs not otherwise recovered through the utility’s rates, including but not limited to: program start-up and administration costs; program marketing costs; and program energy and capacity costs associated with identified AEP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Methods for quantifying, assigning, and allocating costs of the program and for segregating those costs in the utility’s accounts;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Marketing and customer information plan, including schedules and copies of all marketing and information materials, as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15.17(4)</w:t>
      </w:r>
      <w:r>
        <w:rPr>
          <w:rFonts w:ascii="Times New Roman" w:hAnsi="Times New Roman"/>
          <w:b w:val="false"/>
          <w:i w:val="false"/>
          <w:color w:val="000000"/>
          <w:sz w:val="22"/>
        </w:rPr>
        <w:t> </w:t>
      </w:r>
      <w:r>
        <w:rPr>
          <w:rFonts w:ascii="Times New Roman" w:hAnsi="Times New Roman"/>
          <w:b w:val="false"/>
          <w:i/>
          <w:color w:val="000000"/>
          <w:sz w:val="22"/>
        </w:rPr>
        <w:t xml:space="preserve">Annual reporting requirements for rate-regulated utilities. </w:t>
      </w:r>
      <w:r>
        <w:rPr>
          <w:rFonts w:ascii="Times New Roman" w:hAnsi="Times New Roman"/>
          <w:b w:val="false"/>
          <w:i w:val="false"/>
          <w:color w:val="000000"/>
          <w:sz w:val="22"/>
        </w:rPr>
        <w:t xml:space="preserve">On or before April 1, 2005, and annually thereafter, each electric utility subject to rate regulation by the commission, excluding utilities that elect rate regulation pursuant to Iowa Code section </w:t>
      </w:r>
      <w:hyperlink r:id="rId38">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shall file with the commission a report of program activity for the previous calendar year. The annual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 information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of program participants, by customer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Participant contribution revenues, by customer class, by form and level of contribution, and associated participant kWh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Program electricity generated from each program AEP facility and the associated costs;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program costs, by cost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annual reconciliation of participant contributions and program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 costs are incremental costs associated with the utility’s alternate energy purchase program not otherwise recovered through the utility’s base tariff rates, and electricity costs dedicated to the program and separated from the utility’s </w:t>
      </w:r>
      <w:hyperlink r:id="rId39">
        <w:r>
          <w:rPr>
            <w:rStyle w:val="Hyperlink"/>
            <w:rFonts w:ascii="Times New Roman" w:hAnsi="Times New Roman"/>
            <w:b w:val="false"/>
            <w:i w:val="false"/>
            <w:color w:val="000000"/>
            <w:sz w:val="22"/>
          </w:rPr>
          <w:t>199—20.9</w:t>
        </w:r>
      </w:hyperlink>
      <w:r>
        <w:rPr>
          <w:rFonts w:ascii="Times New Roman" w:hAnsi="Times New Roman"/>
          <w:b w:val="false"/>
          <w:i w:val="false"/>
          <w:color w:val="000000"/>
          <w:sz w:val="22"/>
        </w:rPr>
        <w:t>(476) energy or AEP automatic adjustment clauses.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excess of participant contributions over program costs is an annual program surplus, and the excess of program costs over participant contributions is an annual program deficit.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Annual program surpluses and deficits are cumulative over successive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deficit may be recovered through the utility’s </w:t>
      </w:r>
      <w:hyperlink r:id="rId40">
        <w:r>
          <w:rPr>
            <w:rStyle w:val="Hyperlink"/>
            <w:rFonts w:ascii="Times New Roman" w:hAnsi="Times New Roman"/>
            <w:b w:val="false"/>
            <w:i w:val="false"/>
            <w:color w:val="000000"/>
            <w:sz w:val="22"/>
          </w:rPr>
          <w:t>199—20.9</w:t>
        </w:r>
      </w:hyperlink>
      <w:r>
        <w:rPr>
          <w:rFonts w:ascii="Times New Roman" w:hAnsi="Times New Roman"/>
          <w:b w:val="false"/>
          <w:i w:val="false"/>
          <w:color w:val="000000"/>
          <w:sz w:val="22"/>
        </w:rPr>
        <w:t>(476) AEP automatic adjustment clause.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program surplus shall be used to offset prior years’ program deficits previously recovered through the AEP automatic adjustment clause, and the offset amount shall be credited through the utility’s AEP automatic adjustment clause.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of any other AEP or renewable energy requirements being met with program AEP facilities and identification of any revenues derived from the separate sale of the renewable energy attributes of program AEP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shows the energy produced by the utility’s program AEP facilities in Iowa (whether contracted, leased, or owned), not including AEP facilities for which the utility has sought cost recovery under </w:t>
      </w:r>
      <w:hyperlink r:id="rId41">
        <w:r>
          <w:rPr>
            <w:rStyle w:val="Hyperlink"/>
            <w:rFonts w:ascii="Times New Roman" w:hAnsi="Times New Roman"/>
            <w:b w:val="false"/>
            <w:i w:val="false"/>
            <w:color w:val="000000"/>
            <w:sz w:val="22"/>
          </w:rPr>
          <w:t>199—20.9</w:t>
        </w:r>
      </w:hyperlink>
      <w:r>
        <w:rPr>
          <w:rFonts w:ascii="Times New Roman" w:hAnsi="Times New Roman"/>
          <w:b w:val="false"/>
          <w:i w:val="false"/>
          <w:color w:val="000000"/>
          <w:sz w:val="22"/>
        </w:rPr>
        <w:t>(476) prior to July 1, 2001, is sufficient to meet the requirement of the utility’s Iowa alternate energy purchase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program marketing and customer information activities, including schedules and copies of all marketing and information materials related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Program modifications and uses for any program surplus that are under consideration, including procurement or assignment of additional electricity from AEP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utility’s annual fuel report to customers under subrule </w:t>
      </w:r>
      <w:hyperlink r:id="rId42">
        <w:r>
          <w:rPr>
            <w:rStyle w:val="Hyperlink"/>
            <w:rFonts w:ascii="Times New Roman" w:hAnsi="Times New Roman"/>
            <w:b w:val="false"/>
            <w:i w:val="false"/>
            <w:color w:val="000000"/>
            <w:sz w:val="22"/>
          </w:rPr>
          <w:t>15.17(5)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15.17(5)</w:t>
      </w:r>
      <w:r>
        <w:rPr>
          <w:rFonts w:ascii="Times New Roman" w:hAnsi="Times New Roman"/>
          <w:b w:val="false"/>
          <w:i w:val="false"/>
          <w:color w:val="000000"/>
          <w:sz w:val="22"/>
        </w:rPr>
        <w:t> </w:t>
      </w:r>
      <w:r>
        <w:rPr>
          <w:rFonts w:ascii="Times New Roman" w:hAnsi="Times New Roman"/>
          <w:b w:val="false"/>
          <w:i/>
          <w:color w:val="000000"/>
          <w:sz w:val="22"/>
        </w:rPr>
        <w:t xml:space="preserve">Annual fuel reporting requirements for rate-regulated utilities.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electric utility subject to rate regulation by the commission, excluding utilities that elect rate regulation pursuant to Iowa Code section </w:t>
      </w:r>
      <w:hyperlink r:id="rId43">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shall annually report to all its Iowa customers its percentage mix of fuel and energy inputs used to produce electricity. The report shall, to the extent practical, specify percentages of electricity produced by coal, nuclear energy, natural gas, oil, AEP electricity produced for the utility’s alternate energy purchase program, non-program AEP electricity, and resources purchased from other companies. The percentages for AEP electricity shall further specify percentages of electricity produced by wind, solar, hydropower, biomass, and other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report shall include an estimate of sulfur dioxide (SO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nitrogen oxide (NOx), and carbon dioxide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emissions for each known fuel and energy input type. The emission estimate shall be expressed in pounds per 1000 kWh.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15.17(6)</w:t>
      </w:r>
      <w:r>
        <w:rPr>
          <w:rFonts w:ascii="Times New Roman" w:hAnsi="Times New Roman"/>
          <w:b w:val="false"/>
          <w:i w:val="false"/>
          <w:color w:val="000000"/>
          <w:sz w:val="22"/>
        </w:rPr>
        <w:t> </w:t>
      </w:r>
      <w:r>
        <w:rPr>
          <w:rFonts w:ascii="Times New Roman" w:hAnsi="Times New Roman"/>
          <w:b w:val="false"/>
          <w:i/>
          <w:color w:val="000000"/>
          <w:sz w:val="22"/>
        </w:rPr>
        <w:t xml:space="preserve">Tariff filing requirements for non-rate-regulated utilities.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On or before January 1, 2004, each electric utility that is not subject to rate regulation by the commission or that elects rate regulation pursuant to Iowa Code section </w:t>
      </w:r>
      <w:hyperlink r:id="rId44">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shall file with the commission a tariff for the utility’s alternate energy purchase program. Initial tariff filings and any subsequent modifications shall be filed for informational purposes only. Tariff modification filings need only include information about elements of the program that are being modified. The initial tariff filings shall include,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tariff;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sample of the customer notification, including a description of the method of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Customer classes eligible for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any specific AEP facilities to be included in the program, including: fuel type; nameplate capacity; estimated annual kWh output; estimated in-service date; ownership, including any utility affiliation; location; and, if the facility is located outside of Iowa, an explanation of how the facility qualifies under paragraph </w:t>
      </w:r>
      <w:hyperlink r:id="rId45">
        <w:r>
          <w:rPr>
            <w:rStyle w:val="Hyperlink"/>
            <w:rFonts w:ascii="Times New Roman" w:hAnsi="Times New Roman"/>
            <w:b w:val="false"/>
            <w:i w:val="false"/>
            <w:color w:val="000000"/>
            <w:sz w:val="22"/>
          </w:rPr>
          <w:t>15.17(1)</w:t>
        </w:r>
        <w:r>
          <w:rPr>
            <w:rFonts w:ascii="Times New Roman" w:hAnsi="Times New Roman"/>
            <w:b w:val="false"/>
            <w:i/>
            <w:color w:val="000000"/>
            <w:sz w:val="22"/>
          </w:rPr>
          <w:t>“c”</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Forms and levels of customer contribution available to program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Joint filings. An electric utility that is not subject to rate regulation by the commission or that elects rate regulation pursuant to Iowa Code section </w:t>
      </w:r>
      <w:hyperlink r:id="rId46">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may file its tariff jointly with other non-rate-regulated utilities or through an agent. A joint tariff filing shall contain the information required by paragraph </w:t>
      </w:r>
      <w:hyperlink r:id="rId47">
        <w:r>
          <w:rPr>
            <w:rStyle w:val="Hyperlink"/>
            <w:rFonts w:ascii="Times New Roman" w:hAnsi="Times New Roman"/>
            <w:b w:val="false"/>
            <w:i w:val="false"/>
            <w:color w:val="000000"/>
            <w:sz w:val="22"/>
          </w:rPr>
          <w:t>15.17(6)</w:t>
        </w:r>
        <w:r>
          <w:rPr>
            <w:rFonts w:ascii="Times New Roman" w:hAnsi="Times New Roman"/>
            <w:b w:val="false"/>
            <w:i/>
            <w:color w:val="000000"/>
            <w:sz w:val="22"/>
          </w:rPr>
          <w:t>“a,”</w:t>
        </w:r>
      </w:hyperlink>
      <w:r>
        <w:rPr>
          <w:rFonts w:ascii="Times New Roman" w:hAnsi="Times New Roman"/>
          <w:b w:val="false"/>
          <w:i w:val="false"/>
          <w:color w:val="000000"/>
          <w:sz w:val="22"/>
        </w:rPr>
        <w:t xml:space="preserve"> separately identified for each utility participating in the joint tariff. The information for each utility may be provided by reference to an attached document or to a section of the joint tariff filing. A joint tariff filing filed by an agent shall state the agent’s relationship to each utility and include a document from each utility authorizing the agent to act on the utility’s behalf.</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199—15.18</w:t>
      </w:r>
      <w:r>
        <w:rPr>
          <w:rFonts w:ascii="Times New Roman" w:hAnsi="Times New Roman"/>
          <w:b/>
          <w:i w:val="false"/>
          <w:color w:val="000000"/>
          <w:sz w:val="22"/>
        </w:rPr>
        <w:t xml:space="preserve">(476B) </w:t>
      </w:r>
      <w:r>
        <w:rPr>
          <w:rFonts w:ascii="Times New Roman" w:hAnsi="Times New Roman"/>
          <w:b/>
          <w:i w:val="false"/>
          <w:color w:val="000000"/>
          <w:sz w:val="22"/>
        </w:rPr>
        <w:t xml:space="preserve">Certification of eligibility for wind energy tax credits under Iowa Code chapter </w:t>
      </w:r>
      <w:hyperlink r:id="rId48">
        <w:r>
          <w:rPr>
            <w:rStyle w:val="Hyperlink"/>
            <w:rFonts w:ascii="Times New Roman" w:hAnsi="Times New Roman"/>
            <w:b/>
            <w:i w:val="false"/>
            <w:color w:val="000000"/>
            <w:sz w:val="22"/>
          </w:rPr>
          <w:t>476B</w:t>
        </w:r>
      </w:hyperlink>
      <w:r>
        <w:rPr>
          <w:rFonts w:ascii="Times New Roman" w:hAnsi="Times New Roman"/>
          <w:b/>
          <w:i w:val="false"/>
          <w:color w:val="000000"/>
          <w:sz w:val="22"/>
        </w:rPr>
        <w:t xml:space="preserve">. </w:t>
      </w:r>
      <w:r>
        <w:rPr>
          <w:rFonts w:ascii="Times New Roman" w:hAnsi="Times New Roman"/>
          <w:b w:val="false"/>
          <w:i w:val="false"/>
          <w:color w:val="000000"/>
          <w:sz w:val="22"/>
        </w:rPr>
        <w:t xml:space="preserve">Any person applying for certification of eligibility for state tax credits for wind energy pursuant to Iowa Code section </w:t>
      </w:r>
      <w:hyperlink r:id="rId49">
        <w:r>
          <w:rPr>
            <w:rStyle w:val="Hyperlink"/>
            <w:rFonts w:ascii="Times New Roman" w:hAnsi="Times New Roman"/>
            <w:b w:val="false"/>
            <w:i w:val="false"/>
            <w:color w:val="000000"/>
            <w:sz w:val="22"/>
          </w:rPr>
          <w:t>476B.5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2005 Iowa Acts, chapter 179</w:t>
      </w:r>
      <w:r>
        <w:rPr>
          <w:rFonts w:ascii="Times New Roman" w:hAnsi="Times New Roman"/>
          <w:b w:val="false"/>
          <w:i w:val="false"/>
          <w:color w:val="000000"/>
          <w:sz w:val="22"/>
        </w:rPr>
        <w:t>, section 166, is subject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15.18(1)</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w:t>
      </w:r>
      <w:r>
        <w:rPr>
          <w:rFonts w:ascii="Times New Roman" w:hAnsi="Times New Roman"/>
          <w:b w:val="false"/>
          <w:i w:val="false"/>
          <w:color w:val="000000"/>
          <w:sz w:val="22"/>
        </w:rPr>
        <w:t>Any person applying for certification of eligibility for wind energy tax credits must file with the commission an application that contains substantially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applicant, including the legal name, address, telephone number, and (as applicable) facsimile transmission number and electronic mail address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the ownership of the facility, including the legal name of each owner, information demonstrating the legal status of each owner, and the percentage of equity interest held by each owner, and a statement attesting that owners meeting the eligibility requirements of Iowa Code section </w:t>
      </w:r>
      <w:hyperlink r:id="rId50">
        <w:r>
          <w:rPr>
            <w:rStyle w:val="Hyperlink"/>
            <w:rFonts w:ascii="Times New Roman" w:hAnsi="Times New Roman"/>
            <w:b w:val="false"/>
            <w:i w:val="false"/>
            <w:color w:val="000000"/>
            <w:sz w:val="22"/>
          </w:rPr>
          <w:t>476B.5</w:t>
        </w:r>
      </w:hyperlink>
      <w:r>
        <w:rPr>
          <w:rFonts w:ascii="Times New Roman" w:hAnsi="Times New Roman"/>
          <w:b w:val="false"/>
          <w:i w:val="false"/>
          <w:color w:val="000000"/>
          <w:sz w:val="22"/>
        </w:rPr>
        <w:t xml:space="preserve"> are not owners of more than two eligible renewable energy facilities. In determining whether the two-facility limit is exceeded, the commission will consider not only the legal entity that owns the utility, if other than a natural person, but the equity owners of the legal entity. If the owner of the facility is other than a natural person, information regarding the equity owners must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facility, including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Type of facility (that is, a qualified facility as defined in Iowa Code section </w:t>
      </w:r>
      <w:hyperlink r:id="rId51">
        <w:r>
          <w:rPr>
            <w:rStyle w:val="Hyperlink"/>
            <w:rFonts w:ascii="Times New Roman" w:hAnsi="Times New Roman"/>
            <w:b w:val="false"/>
            <w:i w:val="false"/>
            <w:color w:val="000000"/>
            <w:sz w:val="22"/>
          </w:rPr>
          <w:t>476B.1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Total nameplate generating capacity rating. For applications filed on or after March 1, 2008, the facility must have a combined nameplate capacity of no less than 2 megawatts and no more than 30 megawatts. For applications filed on or after July 1, 2009, by a private college or university, community college, institution under the control of the state board of regents, public or accredited nonpublic elementary and secondary school, or public hospital as defined in Iowa Code section </w:t>
      </w:r>
      <w:hyperlink r:id="rId52">
        <w:r>
          <w:rPr>
            <w:rStyle w:val="Hyperlink"/>
            <w:rFonts w:ascii="Times New Roman" w:hAnsi="Times New Roman"/>
            <w:b w:val="false"/>
            <w:i w:val="false"/>
            <w:color w:val="000000"/>
            <w:sz w:val="22"/>
          </w:rPr>
          <w:t>249J.3</w:t>
        </w:r>
      </w:hyperlink>
      <w:r>
        <w:rPr>
          <w:rFonts w:ascii="Times New Roman" w:hAnsi="Times New Roman"/>
          <w:b w:val="false"/>
          <w:i w:val="false"/>
          <w:color w:val="000000"/>
          <w:sz w:val="22"/>
        </w:rPr>
        <w:t>, the facility must have a combined nameplate capacity of no less than ¾ of a megawatt;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location of the facility in Iowa, including an address or other geographic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the facility is expected to be placed in service (that is, placed in service on or after July 1, 2005, but before July 1, 2012, for eligibility under Iowa Code chapter </w:t>
      </w:r>
      <w:hyperlink r:id="rId53">
        <w:r>
          <w:rPr>
            <w:rStyle w:val="Hyperlink"/>
            <w:rFonts w:ascii="Times New Roman" w:hAnsi="Times New Roman"/>
            <w:b w:val="false"/>
            <w:i w:val="false"/>
            <w:color w:val="000000"/>
            <w:sz w:val="22"/>
          </w:rPr>
          <w:t>476B</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2005 Iowa Acts, chapter 179</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signed statement from the owner attesting that the owner intends to either sell all the electricity generated by the facility, consume all the electricity on site, or a combination of both. For purposes of this rule, electricity consumed on site means any electricity produced by the facility and not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owner intends to sell electricity generated by the facility, a copy of the executed power purchase agreement or other agreement to purchase electricity. If the power purchase agreement has not yet been finalized and executed, the commission will accept as an other agreement an executed agreement signed by at least two parties that includes both a commitment to purchase electricity from the facility upon completion of the project and most of the essential elements of a contract.</w:t>
      </w:r>
    </w:p>
    <w:p>
      <w:pPr>
        <w:spacing w:before="0" w:after="0"/>
        <w:ind w:left="120"/>
        <w:jc w:val="both"/>
      </w:pPr>
      <w:r>
        <w:rPr>
          <w:rFonts w:ascii="Times New Roman" w:hAnsi="Times New Roman"/>
          <w:b w:val="false"/>
          <w:i w:val="false"/>
          <w:color w:val="000000"/>
          <w:sz w:val="22"/>
        </w:rPr>
        <w:t>The commission will also accept a copy of an executed interconnection agreement service agreement, in lieu of a power purchase agreement, if the facility owner has instead agreed to sell electricity from the facility directly or indirectly to a wholesale power pool market.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indicating the type of tax credit being sought; that is, indicating that the applicant is applying for tax credits pursuant to Iowa Code chapter </w:t>
      </w:r>
      <w:hyperlink r:id="rId54">
        <w:r>
          <w:rPr>
            <w:rStyle w:val="Hyperlink"/>
            <w:rFonts w:ascii="Times New Roman" w:hAnsi="Times New Roman"/>
            <w:b w:val="false"/>
            <w:i w:val="false"/>
            <w:color w:val="000000"/>
            <w:sz w:val="22"/>
          </w:rPr>
          <w:t>476B</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2005 Iowa Acts, chapter 179</w:t>
      </w:r>
      <w:r>
        <w:rPr>
          <w:rFonts w:ascii="Times New Roman" w:hAnsi="Times New Roman"/>
          <w:b w:val="false"/>
          <w:i w:val="false"/>
          <w:color w:val="000000"/>
          <w:sz w:val="22"/>
        </w:rPr>
        <w:t xml:space="preserve"> (1 cent per kWh, wind energy only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15.18(2)</w:t>
      </w:r>
      <w:r>
        <w:rPr>
          <w:rFonts w:ascii="Times New Roman" w:hAnsi="Times New Roman"/>
          <w:b w:val="false"/>
          <w:i w:val="false"/>
          <w:color w:val="000000"/>
          <w:sz w:val="22"/>
        </w:rPr>
        <w:t> </w:t>
      </w:r>
      <w:r>
        <w:rPr>
          <w:rFonts w:ascii="Times New Roman" w:hAnsi="Times New Roman"/>
          <w:b w:val="false"/>
          <w:i/>
          <w:color w:val="000000"/>
          <w:sz w:val="22"/>
        </w:rPr>
        <w:t xml:space="preserve">Review and notification. </w:t>
      </w:r>
      <w:r>
        <w:rPr>
          <w:rFonts w:ascii="Times New Roman" w:hAnsi="Times New Roman"/>
          <w:b w:val="false"/>
          <w:i w:val="false"/>
          <w:color w:val="000000"/>
          <w:sz w:val="22"/>
        </w:rPr>
        <w:t xml:space="preserve">Upon receipt of a complete application, the commission will review it to make a preliminary determination regarding whether the facility is an eligible renewable energy facility. The commission will notify the applicant by letter of the approval or denial of the application within 30 days of the date the application was filed. If the commission fails to send the letter within 30 days, the application will be deemed denied. An applicant who receives a determination denying an application may file an appeal with the commission within 30 days of the date of the denial, pursuant to the provisions of Iowa Code chapter </w:t>
      </w:r>
      <w:hyperlink r:id="rId5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Iowa Code section </w:t>
      </w:r>
      <w:hyperlink r:id="rId56">
        <w:r>
          <w:rPr>
            <w:rStyle w:val="Hyperlink"/>
            <w:rFonts w:ascii="Times New Roman" w:hAnsi="Times New Roman"/>
            <w:b w:val="false"/>
            <w:i w:val="false"/>
            <w:color w:val="000000"/>
            <w:sz w:val="22"/>
          </w:rPr>
          <w:t>476B.5</w:t>
        </w:r>
      </w:hyperlink>
      <w:r>
        <w:rPr>
          <w:rFonts w:ascii="Times New Roman" w:hAnsi="Times New Roman"/>
          <w:b w:val="false"/>
          <w:i w:val="false"/>
          <w:color w:val="000000"/>
          <w:sz w:val="22"/>
        </w:rPr>
        <w:t>. In the absence of a timely appeal, the preliminary determination shall be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15.18(3)</w:t>
      </w:r>
      <w:r>
        <w:rPr>
          <w:rFonts w:ascii="Times New Roman" w:hAnsi="Times New Roman"/>
          <w:b w:val="false"/>
          <w:i w:val="false"/>
          <w:color w:val="000000"/>
          <w:sz w:val="22"/>
        </w:rPr>
        <w:t> </w:t>
      </w:r>
      <w:r>
        <w:rPr>
          <w:rFonts w:ascii="Times New Roman" w:hAnsi="Times New Roman"/>
          <w:b w:val="false"/>
          <w:i/>
          <w:color w:val="000000"/>
          <w:sz w:val="22"/>
        </w:rPr>
        <w:t xml:space="preserve">Incomplete application and additional information. </w:t>
      </w:r>
      <w:r>
        <w:rPr>
          <w:rFonts w:ascii="Times New Roman" w:hAnsi="Times New Roman"/>
          <w:b w:val="false"/>
          <w:i w:val="false"/>
          <w:color w:val="000000"/>
          <w:sz w:val="22"/>
        </w:rPr>
        <w:t>If an incomplete application is filed, the commission may, upon request and for good cause shown, grant an extension of time to allow the applicant to provide additional information. Also, the commission and its staff may request additional information at any time for purposes of determining initial or continuing eligibility for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15.18(4)</w:t>
      </w:r>
      <w:r>
        <w:rPr>
          <w:rFonts w:ascii="Times New Roman" w:hAnsi="Times New Roman"/>
          <w:b w:val="false"/>
          <w:i w:val="false"/>
          <w:color w:val="000000"/>
          <w:sz w:val="22"/>
        </w:rPr>
        <w:t> </w:t>
      </w:r>
      <w:r>
        <w:rPr>
          <w:rFonts w:ascii="Times New Roman" w:hAnsi="Times New Roman"/>
          <w:b w:val="false"/>
          <w:i/>
          <w:color w:val="000000"/>
          <w:sz w:val="22"/>
        </w:rPr>
        <w:t xml:space="preserve">Loss of eligibility status. </w:t>
      </w:r>
      <w:r>
        <w:rPr>
          <w:rFonts w:ascii="Times New Roman" w:hAnsi="Times New Roman"/>
          <w:b w:val="false"/>
          <w:i w:val="false"/>
          <w:color w:val="000000"/>
          <w:sz w:val="22"/>
        </w:rPr>
        <w:t>Within 18 months following commission approval of eligibility, the applicant shall file information demonstrating that the eligible facility is operational and producing usable energy. If the commission determines that the eligible facility was not operational within 18 months of commission approval, the facility will lose eligibility status.</w:t>
      </w:r>
    </w:p>
    <w:p>
      <w:pPr>
        <w:spacing w:before="0" w:after="0"/>
        <w:ind w:left="120"/>
        <w:jc w:val="both"/>
      </w:pPr>
      <w:r>
        <w:rPr>
          <w:rFonts w:ascii="Times New Roman" w:hAnsi="Times New Roman"/>
          <w:b w:val="false"/>
          <w:i w:val="false"/>
          <w:color w:val="000000"/>
          <w:sz w:val="22"/>
        </w:rPr>
        <w:t>However, if the facility is not operational within 18 months due to the unavailability of necessary equipment, the applicant may apply for a 12-month extension of the filing requirement, attesting to the unavailability of necessary equipment. After granting a 12-month extension, if the commission determines that the facility was not operational within 30 months of commission approval, the facility will lose eligibility status. Otherwise, the facility may reapply to the commission for new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15.18(5)</w:t>
      </w:r>
      <w:r>
        <w:rPr>
          <w:rFonts w:ascii="Times New Roman" w:hAnsi="Times New Roman"/>
          <w:b w:val="false"/>
          <w:i w:val="false"/>
          <w:color w:val="000000"/>
          <w:sz w:val="22"/>
        </w:rPr>
        <w:t> </w:t>
      </w:r>
      <w:r>
        <w:rPr>
          <w:rFonts w:ascii="Times New Roman" w:hAnsi="Times New Roman"/>
          <w:b w:val="false"/>
          <w:i/>
          <w:color w:val="000000"/>
          <w:sz w:val="22"/>
        </w:rPr>
        <w:t xml:space="preserve">Allocation of capacity among eligible applicants. </w:t>
      </w:r>
      <w:r>
        <w:rPr>
          <w:rFonts w:ascii="Times New Roman" w:hAnsi="Times New Roman"/>
          <w:b w:val="false"/>
          <w:i w:val="false"/>
          <w:color w:val="000000"/>
          <w:sz w:val="22"/>
        </w:rPr>
        <w:t xml:space="preserve">Iowa Code section </w:t>
      </w:r>
      <w:hyperlink r:id="rId57">
        <w:r>
          <w:rPr>
            <w:rStyle w:val="Hyperlink"/>
            <w:rFonts w:ascii="Times New Roman" w:hAnsi="Times New Roman"/>
            <w:b w:val="false"/>
            <w:i w:val="false"/>
            <w:color w:val="000000"/>
            <w:sz w:val="22"/>
          </w:rPr>
          <w:t>476B.5</w:t>
        </w:r>
      </w:hyperlink>
      <w:r>
        <w:rPr>
          <w:rFonts w:ascii="Times New Roman" w:hAnsi="Times New Roman"/>
          <w:b w:val="false"/>
          <w:i w:val="false"/>
          <w:color w:val="000000"/>
          <w:sz w:val="22"/>
        </w:rPr>
        <w:t xml:space="preserve"> establishes the maximum amount of nameplate generating capacity of facilities eligible for the tax credits. In the event the commission receives applications for tax credits that, in total, exceed the statutory limits, the commission will rule on the applications in the order they are received, based upon the date of receipt. Because the commission does not track the time of day that filings are made with the commission, if the commission receives more than one application on a particular date such that the combined capacity of the applications exceeds applicable statutory limits, the commission will allocate the final eligibility determinations proportionally among all applications received on that date. Alternatively, the commission may withhold this allocation unless a petition for allocation is filed with the commission by one of the applicants who filed its application on that particular date. If such a petition is submitted, the commission will notify all applicants who filed on that particular date, allowing each applicant to opt into the allocation within 45 days of the date of the filing of the petition. Applicants who opt in must comply with subrule </w:t>
      </w:r>
      <w:hyperlink r:id="rId58">
        <w:r>
          <w:rPr>
            <w:rStyle w:val="Hyperlink"/>
            <w:rFonts w:ascii="Times New Roman" w:hAnsi="Times New Roman"/>
            <w:b w:val="false"/>
            <w:i w:val="false"/>
            <w:color w:val="000000"/>
            <w:sz w:val="22"/>
          </w:rPr>
          <w:t>15.18(4)</w:t>
        </w:r>
      </w:hyperlink>
      <w:r>
        <w:rPr>
          <w:rFonts w:ascii="Times New Roman" w:hAnsi="Times New Roman"/>
          <w:b w:val="false"/>
          <w:i w:val="false"/>
          <w:color w:val="000000"/>
          <w:sz w:val="22"/>
        </w:rPr>
        <w:t xml:space="preserve"> after receiving eligibility under the allocation or lose their eligibility status. Applicants who do not opt in will maintain their original application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15.18(6)</w:t>
      </w:r>
      <w:r>
        <w:rPr>
          <w:rFonts w:ascii="Times New Roman" w:hAnsi="Times New Roman"/>
          <w:b w:val="false"/>
          <w:i w:val="false"/>
          <w:color w:val="000000"/>
          <w:sz w:val="22"/>
        </w:rPr>
        <w:t> </w:t>
      </w:r>
      <w:r>
        <w:rPr>
          <w:rFonts w:ascii="Times New Roman" w:hAnsi="Times New Roman"/>
          <w:b w:val="false"/>
          <w:i/>
          <w:color w:val="000000"/>
          <w:sz w:val="22"/>
        </w:rPr>
        <w:t xml:space="preserve">Waiting list for excess applications. </w:t>
      </w:r>
      <w:r>
        <w:rPr>
          <w:rFonts w:ascii="Times New Roman" w:hAnsi="Times New Roman"/>
          <w:b w:val="false"/>
          <w:i w:val="false"/>
          <w:color w:val="000000"/>
          <w:sz w:val="22"/>
        </w:rPr>
        <w:t xml:space="preserve">The commission will maintain a waiting list of excess eligibility applications for facilities that might have received preliminary eligibility under subrule </w:t>
      </w:r>
      <w:hyperlink r:id="rId59">
        <w:r>
          <w:rPr>
            <w:rStyle w:val="Hyperlink"/>
            <w:rFonts w:ascii="Times New Roman" w:hAnsi="Times New Roman"/>
            <w:b w:val="false"/>
            <w:i w:val="false"/>
            <w:color w:val="000000"/>
            <w:sz w:val="22"/>
          </w:rPr>
          <w:t>15.18(2)</w:t>
        </w:r>
      </w:hyperlink>
      <w:r>
        <w:rPr>
          <w:rFonts w:ascii="Times New Roman" w:hAnsi="Times New Roman"/>
          <w:b w:val="false"/>
          <w:i w:val="false"/>
          <w:color w:val="000000"/>
          <w:sz w:val="22"/>
        </w:rPr>
        <w:t xml:space="preserve">, but for the maximum capacity and capability restrictions under subrule </w:t>
      </w:r>
      <w:hyperlink r:id="rId60">
        <w:r>
          <w:rPr>
            <w:rStyle w:val="Hyperlink"/>
            <w:rFonts w:ascii="Times New Roman" w:hAnsi="Times New Roman"/>
            <w:b w:val="false"/>
            <w:i w:val="false"/>
            <w:color w:val="000000"/>
            <w:sz w:val="22"/>
          </w:rPr>
          <w:t>15.18(5)</w:t>
        </w:r>
      </w:hyperlink>
      <w:r>
        <w:rPr>
          <w:rFonts w:ascii="Times New Roman" w:hAnsi="Times New Roman"/>
          <w:b w:val="false"/>
          <w:i w:val="false"/>
          <w:color w:val="000000"/>
          <w:sz w:val="22"/>
        </w:rPr>
        <w:t xml:space="preserve">. The priorities of the waiting list will be in the order the applications were received, based upon the dates of receipt. If additional capacity becomes available within the capacity restrictions under subrule </w:t>
      </w:r>
      <w:hyperlink r:id="rId61">
        <w:r>
          <w:rPr>
            <w:rStyle w:val="Hyperlink"/>
            <w:rFonts w:ascii="Times New Roman" w:hAnsi="Times New Roman"/>
            <w:b w:val="false"/>
            <w:i w:val="false"/>
            <w:color w:val="000000"/>
            <w:sz w:val="22"/>
          </w:rPr>
          <w:t>15.18(5)</w:t>
        </w:r>
      </w:hyperlink>
      <w:r>
        <w:rPr>
          <w:rFonts w:ascii="Times New Roman" w:hAnsi="Times New Roman"/>
          <w:b w:val="false"/>
          <w:i w:val="false"/>
          <w:color w:val="000000"/>
          <w:sz w:val="22"/>
        </w:rPr>
        <w:t>, the commission will review the applications on the waiting list based on their priorities, before reviewing new applications. Applications will be removed from the waiting list after they are either approved or denied. Beginning August 31, 2007, each applicant on the waiting list shall annually provide the commission a statement of verification attesting that the information contained in the applicant’s eligibility application remains true and correct, or stating that the information has changed and providing the new information.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2">
        <w:r>
          <w:rPr>
            <w:rStyle w:val="Hyperlink"/>
            <w:rFonts w:ascii="Times New Roman" w:hAnsi="Times New Roman"/>
            <w:b w:val="false"/>
            <w:i w:val="false"/>
            <w:color w:val="000000"/>
            <w:sz w:val="22"/>
          </w:rPr>
          <w:t>476B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8060B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199—15.19</w:t>
      </w:r>
      <w:r>
        <w:rPr>
          <w:rFonts w:ascii="Times New Roman" w:hAnsi="Times New Roman"/>
          <w:b/>
          <w:i w:val="false"/>
          <w:color w:val="000000"/>
          <w:sz w:val="22"/>
        </w:rPr>
        <w:t xml:space="preserve">(476C) </w:t>
      </w:r>
      <w:r>
        <w:rPr>
          <w:rFonts w:ascii="Times New Roman" w:hAnsi="Times New Roman"/>
          <w:b/>
          <w:i w:val="false"/>
          <w:color w:val="000000"/>
          <w:sz w:val="22"/>
        </w:rPr>
        <w:t xml:space="preserve">Certification of eligibility for wind energy and renewable energy tax credits under Iowa Code chapter </w:t>
      </w:r>
      <w:hyperlink r:id="rId63">
        <w:r>
          <w:rPr>
            <w:rStyle w:val="Hyperlink"/>
            <w:rFonts w:ascii="Times New Roman" w:hAnsi="Times New Roman"/>
            <w:b/>
            <w:i w:val="false"/>
            <w:color w:val="000000"/>
            <w:sz w:val="22"/>
          </w:rPr>
          <w:t>476C</w:t>
        </w:r>
      </w:hyperlink>
      <w:r>
        <w:rPr>
          <w:rFonts w:ascii="Times New Roman" w:hAnsi="Times New Roman"/>
          <w:b/>
          <w:i w:val="false"/>
          <w:color w:val="000000"/>
          <w:sz w:val="22"/>
        </w:rPr>
        <w:t xml:space="preserve">. </w:t>
      </w:r>
      <w:r>
        <w:rPr>
          <w:rFonts w:ascii="Times New Roman" w:hAnsi="Times New Roman"/>
          <w:b w:val="false"/>
          <w:i w:val="false"/>
          <w:color w:val="000000"/>
          <w:sz w:val="22"/>
        </w:rPr>
        <w:t xml:space="preserve">Any person applying for certification of eligibility for state tax credits for wind energy or renewable energy pursuant to Iowa Code section </w:t>
      </w:r>
      <w:hyperlink r:id="rId64">
        <w:r>
          <w:rPr>
            <w:rStyle w:val="Hyperlink"/>
            <w:rFonts w:ascii="Times New Roman" w:hAnsi="Times New Roman"/>
            <w:b w:val="false"/>
            <w:i w:val="false"/>
            <w:color w:val="000000"/>
            <w:sz w:val="22"/>
          </w:rPr>
          <w:t>476C.3</w:t>
        </w:r>
      </w:hyperlink>
      <w:r>
        <w:rPr>
          <w:rFonts w:ascii="Times New Roman" w:hAnsi="Times New Roman"/>
          <w:b w:val="false"/>
          <w:i w:val="false"/>
          <w:color w:val="000000"/>
          <w:sz w:val="22"/>
        </w:rPr>
        <w:t xml:space="preserve"> is subject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15.19(1)</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w:t>
      </w:r>
      <w:r>
        <w:rPr>
          <w:rFonts w:ascii="Times New Roman" w:hAnsi="Times New Roman"/>
          <w:b w:val="false"/>
          <w:i w:val="false"/>
          <w:color w:val="000000"/>
          <w:sz w:val="22"/>
        </w:rPr>
        <w:t>Any person applying for certification of eligibility for wind energy or renewable energy tax credits must file with the commission an application that contains substantially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applicant, including the legal name, address, telephone number, and (as applicable) facsimile transmission number and electronic mail address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the ownership of the facility, including the legal name of each owner, information demonstrating the legal status of each owner, and the percentage of equity interest held by each owner. The “legal status of each owner” refers to either ownership of a small wind energy system operating in a small wind innovation zone as defined in Iowa Code section </w:t>
      </w:r>
      <w:hyperlink r:id="rId65">
        <w:r>
          <w:rPr>
            <w:rStyle w:val="Hyperlink"/>
            <w:rFonts w:ascii="Times New Roman" w:hAnsi="Times New Roman"/>
            <w:b w:val="false"/>
            <w:i w:val="false"/>
            <w:color w:val="000000"/>
            <w:sz w:val="22"/>
          </w:rPr>
          <w:t>476.48(1)</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199—15.22</w:t>
        </w:r>
      </w:hyperlink>
      <w:r>
        <w:rPr>
          <w:rFonts w:ascii="Times New Roman" w:hAnsi="Times New Roman"/>
          <w:b w:val="false"/>
          <w:i w:val="false"/>
          <w:color w:val="000000"/>
          <w:sz w:val="22"/>
        </w:rPr>
        <w:t xml:space="preserve">(476), or, alternatively, the ownership requirements of Iowa Code section </w:t>
      </w:r>
      <w:hyperlink r:id="rId67">
        <w:r>
          <w:rPr>
            <w:rStyle w:val="Hyperlink"/>
            <w:rFonts w:ascii="Times New Roman" w:hAnsi="Times New Roman"/>
            <w:b w:val="false"/>
            <w:i w:val="false"/>
            <w:color w:val="000000"/>
            <w:sz w:val="22"/>
          </w:rPr>
          <w:t>476C.1(6)</w:t>
        </w:r>
      </w:hyperlink>
      <w:r>
        <w:rPr>
          <w:rFonts w:ascii="Times New Roman" w:hAnsi="Times New Roman"/>
          <w:b w:val="false"/>
          <w:i/>
          <w:color w:val="000000"/>
          <w:sz w:val="22"/>
        </w:rPr>
        <w:t>“b,”</w:t>
      </w:r>
      <w:r>
        <w:rPr>
          <w:rFonts w:ascii="Times New Roman" w:hAnsi="Times New Roman"/>
          <w:b w:val="false"/>
          <w:i w:val="false"/>
          <w:color w:val="000000"/>
          <w:sz w:val="22"/>
        </w:rPr>
        <w:t xml:space="preserve"> which provides that an eligible renewable energy facility must be at least 51 percent owned by one or more or any combination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resident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authorized farm corporation, authorized limited liability company, or authorized trust, as defined in Iowa Code section </w:t>
      </w:r>
      <w:hyperlink r:id="rId68">
        <w:r>
          <w:rPr>
            <w:rStyle w:val="Hyperlink"/>
            <w:rFonts w:ascii="Times New Roman" w:hAnsi="Times New Roman"/>
            <w:b w:val="false"/>
            <w:i w:val="false"/>
            <w:color w:val="000000"/>
            <w:sz w:val="22"/>
          </w:rPr>
          <w:t>9H.1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family farm corporation, family farm limited liability company, or family farm trust, as defined in Iowa Code section </w:t>
      </w:r>
      <w:hyperlink r:id="rId69">
        <w:r>
          <w:rPr>
            <w:rStyle w:val="Hyperlink"/>
            <w:rFonts w:ascii="Times New Roman" w:hAnsi="Times New Roman"/>
            <w:b w:val="false"/>
            <w:i w:val="false"/>
            <w:color w:val="000000"/>
            <w:sz w:val="22"/>
          </w:rPr>
          <w:t>9H.1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revocable trust as defined in Iowa Code section </w:t>
      </w:r>
      <w:hyperlink r:id="rId70">
        <w:r>
          <w:rPr>
            <w:rStyle w:val="Hyperlink"/>
            <w:rFonts w:ascii="Times New Roman" w:hAnsi="Times New Roman"/>
            <w:b w:val="false"/>
            <w:i w:val="false"/>
            <w:color w:val="000000"/>
            <w:sz w:val="22"/>
          </w:rPr>
          <w:t>9H.1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testamentary trust as defined in Iowa Code section </w:t>
      </w:r>
      <w:hyperlink r:id="rId71">
        <w:r>
          <w:rPr>
            <w:rStyle w:val="Hyperlink"/>
            <w:rFonts w:ascii="Times New Roman" w:hAnsi="Times New Roman"/>
            <w:b w:val="false"/>
            <w:i w:val="false"/>
            <w:color w:val="000000"/>
            <w:sz w:val="22"/>
          </w:rPr>
          <w:t>9H.1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small business as defined in Iowa Code section </w:t>
      </w:r>
      <w:hyperlink r:id="rId72">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An electric cooperative association organized pursuant to Iowa Code chapter </w:t>
      </w:r>
      <w:hyperlink r:id="rId73">
        <w:r>
          <w:rPr>
            <w:rStyle w:val="Hyperlink"/>
            <w:rFonts w:ascii="Times New Roman" w:hAnsi="Times New Roman"/>
            <w:b w:val="false"/>
            <w:i w:val="false"/>
            <w:color w:val="000000"/>
            <w:sz w:val="22"/>
          </w:rPr>
          <w:t>499</w:t>
        </w:r>
      </w:hyperlink>
      <w:r>
        <w:rPr>
          <w:rFonts w:ascii="Times New Roman" w:hAnsi="Times New Roman"/>
          <w:b w:val="false"/>
          <w:i w:val="false"/>
          <w:color w:val="000000"/>
          <w:sz w:val="22"/>
        </w:rPr>
        <w:t xml:space="preserve"> that sells electricity to end users located in Iowa or has one or more members organized pursuant to Iowa Code chapter </w:t>
      </w:r>
      <w:hyperlink r:id="rId74">
        <w:r>
          <w:rPr>
            <w:rStyle w:val="Hyperlink"/>
            <w:rFonts w:ascii="Times New Roman" w:hAnsi="Times New Roman"/>
            <w:b w:val="false"/>
            <w:i w:val="false"/>
            <w:color w:val="000000"/>
            <w:sz w:val="22"/>
          </w:rPr>
          <w:t>499</w:t>
        </w:r>
      </w:hyperlink>
      <w:r>
        <w:rPr>
          <w:rFonts w:ascii="Times New Roman" w:hAnsi="Times New Roman"/>
          <w:b w:val="false"/>
          <w:i w:val="false"/>
          <w:color w:val="000000"/>
          <w:sz w:val="22"/>
        </w:rPr>
        <w:t xml:space="preserve">, a municipally owned city utility as defined in Iowa Code section </w:t>
      </w:r>
      <w:hyperlink r:id="rId75">
        <w:r>
          <w:rPr>
            <w:rStyle w:val="Hyperlink"/>
            <w:rFonts w:ascii="Times New Roman" w:hAnsi="Times New Roman"/>
            <w:b w:val="false"/>
            <w:i w:val="false"/>
            <w:color w:val="000000"/>
            <w:sz w:val="22"/>
          </w:rPr>
          <w:t>362.2</w:t>
        </w:r>
      </w:hyperlink>
      <w:r>
        <w:rPr>
          <w:rFonts w:ascii="Times New Roman" w:hAnsi="Times New Roman"/>
          <w:b w:val="false"/>
          <w:i w:val="false"/>
          <w:color w:val="000000"/>
          <w:sz w:val="22"/>
        </w:rPr>
        <w:t xml:space="preserve">, or a public utility subject to rate regulation pursuant to Iowa Code chapter </w:t>
      </w:r>
      <w:hyperlink r:id="rId76">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 cooperative corporation organized pursuant to Iowa Code chapter </w:t>
      </w:r>
      <w:hyperlink r:id="rId77">
        <w:r>
          <w:rPr>
            <w:rStyle w:val="Hyperlink"/>
            <w:rFonts w:ascii="Times New Roman" w:hAnsi="Times New Roman"/>
            <w:b w:val="false"/>
            <w:i w:val="false"/>
            <w:color w:val="000000"/>
            <w:sz w:val="22"/>
          </w:rPr>
          <w:t>497</w:t>
        </w:r>
      </w:hyperlink>
      <w:r>
        <w:rPr>
          <w:rFonts w:ascii="Times New Roman" w:hAnsi="Times New Roman"/>
          <w:b w:val="false"/>
          <w:i w:val="false"/>
          <w:color w:val="000000"/>
          <w:sz w:val="22"/>
        </w:rPr>
        <w:t xml:space="preserve"> or a limited liability corporation organized pursuant to Iowa Code chapter </w:t>
      </w:r>
      <w:hyperlink r:id="rId78">
        <w:r>
          <w:rPr>
            <w:rStyle w:val="Hyperlink"/>
            <w:rFonts w:ascii="Times New Roman" w:hAnsi="Times New Roman"/>
            <w:b w:val="false"/>
            <w:i w:val="false"/>
            <w:color w:val="000000"/>
            <w:sz w:val="22"/>
          </w:rPr>
          <w:t>489</w:t>
        </w:r>
      </w:hyperlink>
      <w:r>
        <w:rPr>
          <w:rFonts w:ascii="Times New Roman" w:hAnsi="Times New Roman"/>
          <w:b w:val="false"/>
          <w:i w:val="false"/>
          <w:color w:val="000000"/>
          <w:sz w:val="22"/>
        </w:rPr>
        <w:t xml:space="preserve"> whose shares and membership are held by an entity that is not prohibited from owning agricultural land under Iowa Code chapter </w:t>
      </w:r>
      <w:hyperlink r:id="rId79">
        <w:r>
          <w:rPr>
            <w:rStyle w:val="Hyperlink"/>
            <w:rFonts w:ascii="Times New Roman" w:hAnsi="Times New Roman"/>
            <w:b w:val="false"/>
            <w:i w:val="false"/>
            <w:color w:val="000000"/>
            <w:sz w:val="22"/>
          </w:rPr>
          <w:t>9H</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school district located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attesting that each owner meeting the eligibility requirements of Iowa Code section </w:t>
      </w:r>
      <w:hyperlink r:id="rId80">
        <w:r>
          <w:rPr>
            <w:rStyle w:val="Hyperlink"/>
            <w:rFonts w:ascii="Times New Roman" w:hAnsi="Times New Roman"/>
            <w:b w:val="false"/>
            <w:i w:val="false"/>
            <w:color w:val="000000"/>
            <w:sz w:val="22"/>
          </w:rPr>
          <w:t>476C.1(6)</w:t>
        </w:r>
      </w:hyperlink>
      <w:r>
        <w:rPr>
          <w:rFonts w:ascii="Times New Roman" w:hAnsi="Times New Roman"/>
          <w:b w:val="false"/>
          <w:i/>
          <w:color w:val="000000"/>
          <w:sz w:val="22"/>
        </w:rPr>
        <w:t>“b”</w:t>
      </w:r>
      <w:r>
        <w:rPr>
          <w:rFonts w:ascii="Times New Roman" w:hAnsi="Times New Roman"/>
          <w:b w:val="false"/>
          <w:i w:val="false"/>
          <w:color w:val="000000"/>
          <w:sz w:val="22"/>
        </w:rPr>
        <w:t xml:space="preserve"> does not have an ownership interest in more than two eligible renewable energy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any owner meeting the eligibility requirements of Iowa Code section </w:t>
      </w:r>
      <w:hyperlink r:id="rId81">
        <w:r>
          <w:rPr>
            <w:rStyle w:val="Hyperlink"/>
            <w:rFonts w:ascii="Times New Roman" w:hAnsi="Times New Roman"/>
            <w:b w:val="false"/>
            <w:i w:val="false"/>
            <w:color w:val="000000"/>
            <w:sz w:val="22"/>
          </w:rPr>
          <w:t>476C.1(6)</w:t>
        </w:r>
      </w:hyperlink>
      <w:r>
        <w:rPr>
          <w:rFonts w:ascii="Times New Roman" w:hAnsi="Times New Roman"/>
          <w:b w:val="false"/>
          <w:i/>
          <w:color w:val="000000"/>
          <w:sz w:val="22"/>
        </w:rPr>
        <w:t>“b”</w:t>
      </w:r>
      <w:r>
        <w:rPr>
          <w:rFonts w:ascii="Times New Roman" w:hAnsi="Times New Roman"/>
          <w:b w:val="false"/>
          <w:i w:val="false"/>
          <w:color w:val="000000"/>
          <w:sz w:val="22"/>
        </w:rPr>
        <w:t xml:space="preserve"> with an equity interest in the facility equal to or greater than 51 percent, a statement attesting that the owner does not have an equity interest greater than 10 percent in any other eligible renewable energy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any owner meeting the eligibility requirements of Iowa Code section </w:t>
      </w:r>
      <w:hyperlink r:id="rId82">
        <w:r>
          <w:rPr>
            <w:rStyle w:val="Hyperlink"/>
            <w:rFonts w:ascii="Times New Roman" w:hAnsi="Times New Roman"/>
            <w:b w:val="false"/>
            <w:i w:val="false"/>
            <w:color w:val="000000"/>
            <w:sz w:val="22"/>
          </w:rPr>
          <w:t>476C.1(6)</w:t>
        </w:r>
      </w:hyperlink>
      <w:r>
        <w:rPr>
          <w:rFonts w:ascii="Times New Roman" w:hAnsi="Times New Roman"/>
          <w:b w:val="false"/>
          <w:i/>
          <w:color w:val="000000"/>
          <w:sz w:val="22"/>
        </w:rPr>
        <w:t>“b”</w:t>
      </w:r>
      <w:r>
        <w:rPr>
          <w:rFonts w:ascii="Times New Roman" w:hAnsi="Times New Roman"/>
          <w:b w:val="false"/>
          <w:i w:val="false"/>
          <w:color w:val="000000"/>
          <w:sz w:val="22"/>
        </w:rPr>
        <w:t xml:space="preserve"> with an equity interest in the facility greater than 10 percent and less than 51 percent, a statement attesting that the owner does not have an equity interest equal to or greater than 51 percent in any other eligible renewable energy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facility, including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Type of facility (that is, a wind energy conversion facility, biogas recovery facility, biomass conversion facility, methane gas recovery facility, solar energy conversion facility, or refuse conversion facility, as defined in Iowa Code section </w:t>
      </w:r>
      <w:hyperlink r:id="rId83">
        <w:r>
          <w:rPr>
            <w:rStyle w:val="Hyperlink"/>
            <w:rFonts w:ascii="Times New Roman" w:hAnsi="Times New Roman"/>
            <w:b w:val="false"/>
            <w:i w:val="false"/>
            <w:color w:val="000000"/>
            <w:sz w:val="22"/>
          </w:rPr>
          <w:t>476C.1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Total nameplate generating capacity rating, plus maximum hourly output capability for any energy production capacity equivalent as defined in Iowa Code section </w:t>
      </w:r>
      <w:hyperlink r:id="rId84">
        <w:r>
          <w:rPr>
            <w:rStyle w:val="Hyperlink"/>
            <w:rFonts w:ascii="Times New Roman" w:hAnsi="Times New Roman"/>
            <w:b w:val="false"/>
            <w:i w:val="false"/>
            <w:color w:val="000000"/>
            <w:sz w:val="22"/>
          </w:rPr>
          <w:t>476C.1</w:t>
        </w:r>
      </w:hyperlink>
      <w:r>
        <w:rPr>
          <w:rFonts w:ascii="Times New Roman" w:hAnsi="Times New Roman"/>
          <w:b w:val="false"/>
          <w:i w:val="false"/>
          <w:color w:val="000000"/>
          <w:sz w:val="22"/>
        </w:rPr>
        <w:t>. For applications filed on or after July 1, 2011, the facility’s combined nameplate capacity or energy production capacity equivalent must be no less than three-fourths of a megawatt if all or part of the facility’s renewable energy production is used for the owners’ on-site consumption, and no more than 60 megawatts if the facility is not a wind energy conversion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location of the facility in Iowa, including an address or other geographic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the facility is expected to be placed in service; that is, placed in service on or after July 1, 2005, but before January 1, 2017, for eligibility under Iowa Code chapter </w:t>
      </w:r>
      <w:hyperlink r:id="rId85">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For eligibility under Iowa Code chapter </w:t>
      </w:r>
      <w:hyperlink r:id="rId86">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xml:space="preserve">, demonstration that the facility’s combined MW nameplate generating capacity and maximum hourly output capability of energy production capacity equivalent (as defined in Iowa Code section </w:t>
      </w:r>
      <w:hyperlink r:id="rId87">
        <w:r>
          <w:rPr>
            <w:rStyle w:val="Hyperlink"/>
            <w:rFonts w:ascii="Times New Roman" w:hAnsi="Times New Roman"/>
            <w:b w:val="false"/>
            <w:i w:val="false"/>
            <w:color w:val="000000"/>
            <w:sz w:val="22"/>
          </w:rPr>
          <w:t>476C.1(7)</w:t>
        </w:r>
      </w:hyperlink>
      <w:r>
        <w:rPr>
          <w:rFonts w:ascii="Times New Roman" w:hAnsi="Times New Roman"/>
          <w:b w:val="false"/>
          <w:i w:val="false"/>
          <w:color w:val="000000"/>
          <w:sz w:val="22"/>
        </w:rPr>
        <w:t xml:space="preserve">), divided by the number of separate owners meeting the requirements of Iowa Code chapter </w:t>
      </w:r>
      <w:hyperlink r:id="rId88">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equals no more than 2.5 MW of capacity per eligible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signed statement from the owners attesting that the owners intend to either sell all the renewable energy produced by the facility, consume all the renewable energy on site, or use all the renewable energy through a combination of sale and consumption. For purposes of the signed statement, renewable energy consumed on site means any renewable energy produced by the facility and not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the owners intend to sell renewable energy produced by the facility, a copy of the power purchase agreement or other agreement to purchase electricity, hydrogen fuel, methane or other biogas, or heat for a commercial purpose, which shall designate either the producer or the purchaser as eligible to apply for the renewable energy tax credit. If the power purchase agreement or other agreement has not yet been finalized and executed, the commission will accept a binding statement from the applicant that designates which party will be eligible to apply for the renewable energy tax credit; that designation shall not be subject to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indicating the type of tax credit being sought; that is, indicating that the applicant is applying for tax credits pursuant to Iowa Code chapter </w:t>
      </w:r>
      <w:hyperlink r:id="rId89">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xml:space="preserve"> (1.5 cents per kWh, wind and other renewable energy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15.19(2)</w:t>
      </w:r>
      <w:r>
        <w:rPr>
          <w:rFonts w:ascii="Times New Roman" w:hAnsi="Times New Roman"/>
          <w:b w:val="false"/>
          <w:i w:val="false"/>
          <w:color w:val="000000"/>
          <w:sz w:val="22"/>
        </w:rPr>
        <w:t> </w:t>
      </w:r>
      <w:r>
        <w:rPr>
          <w:rFonts w:ascii="Times New Roman" w:hAnsi="Times New Roman"/>
          <w:b w:val="false"/>
          <w:i/>
          <w:color w:val="000000"/>
          <w:sz w:val="22"/>
        </w:rPr>
        <w:t xml:space="preserve">Review and notification. </w:t>
      </w:r>
      <w:r>
        <w:rPr>
          <w:rFonts w:ascii="Times New Roman" w:hAnsi="Times New Roman"/>
          <w:b w:val="false"/>
          <w:i w:val="false"/>
          <w:color w:val="000000"/>
          <w:sz w:val="22"/>
        </w:rPr>
        <w:t xml:space="preserve">Upon receipt of a complete application, the commission will review it to make a preliminary determination regarding whether the facility is an eligible renewable energy facility. The commission will notify the applicant by letter of the approval or denial of the application within 30 days of the date the application was filed. If the commission fails to send the letter within 30 days, the application will be deemed denied. An applicant who receives a determination denying an application may file an appeal with the commission within 30 days of the date of the denial, pursuant to the provisions of Iowa Code chapter </w:t>
      </w:r>
      <w:hyperlink r:id="rId9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Iowa Code section </w:t>
      </w:r>
      <w:hyperlink r:id="rId91">
        <w:r>
          <w:rPr>
            <w:rStyle w:val="Hyperlink"/>
            <w:rFonts w:ascii="Times New Roman" w:hAnsi="Times New Roman"/>
            <w:b w:val="false"/>
            <w:i w:val="false"/>
            <w:color w:val="000000"/>
            <w:sz w:val="22"/>
          </w:rPr>
          <w:t>476C.3(2)</w:t>
        </w:r>
      </w:hyperlink>
      <w:r>
        <w:rPr>
          <w:rFonts w:ascii="Times New Roman" w:hAnsi="Times New Roman"/>
          <w:b w:val="false"/>
          <w:i w:val="false"/>
          <w:color w:val="000000"/>
          <w:sz w:val="22"/>
        </w:rPr>
        <w:t>. In the absence of a timely appeal, the preliminary determination shall be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15.19(3)</w:t>
      </w:r>
      <w:r>
        <w:rPr>
          <w:rFonts w:ascii="Times New Roman" w:hAnsi="Times New Roman"/>
          <w:b w:val="false"/>
          <w:i w:val="false"/>
          <w:color w:val="000000"/>
          <w:sz w:val="22"/>
        </w:rPr>
        <w:t> </w:t>
      </w:r>
      <w:r>
        <w:rPr>
          <w:rFonts w:ascii="Times New Roman" w:hAnsi="Times New Roman"/>
          <w:b w:val="false"/>
          <w:i/>
          <w:color w:val="000000"/>
          <w:sz w:val="22"/>
        </w:rPr>
        <w:t xml:space="preserve">Incomplete application and additional information. </w:t>
      </w:r>
      <w:r>
        <w:rPr>
          <w:rFonts w:ascii="Times New Roman" w:hAnsi="Times New Roman"/>
          <w:b w:val="false"/>
          <w:i w:val="false"/>
          <w:color w:val="000000"/>
          <w:sz w:val="22"/>
        </w:rPr>
        <w:t>If an incomplete application is filed, the commission may, upon request and for good cause shown, grant an extension of time to allow the applicant to provide additional information. Also, the commission and its staff may request additional information at any time for purposes of determining initial or continuing eligibility for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15.19(4)</w:t>
      </w:r>
      <w:r>
        <w:rPr>
          <w:rFonts w:ascii="Times New Roman" w:hAnsi="Times New Roman"/>
          <w:b w:val="false"/>
          <w:i w:val="false"/>
          <w:color w:val="000000"/>
          <w:sz w:val="22"/>
        </w:rPr>
        <w:t> </w:t>
      </w:r>
      <w:r>
        <w:rPr>
          <w:rFonts w:ascii="Times New Roman" w:hAnsi="Times New Roman"/>
          <w:b w:val="false"/>
          <w:i/>
          <w:color w:val="000000"/>
          <w:sz w:val="22"/>
        </w:rPr>
        <w:t xml:space="preserve">Loss of eligibility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30 months following commission approval of eligibility, the applicant shall file information demonstrating that the eligible facility is operational and producing usable energy. If the commission determines that the eligible facility was not operational within 30 months of commission approval, the facility will lose eligibility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facility is a wind energy conversion facility and is not operational within 18 months due to the unavailability of necessary equipment, the applicant may apply for a 12-month extension of the 30-month limit, attesting to the unavailability of necessary equipment. After granting the 12-month extension, if the commission determines that the facility was not operational within 42 months of commission approval, the facility will lose eligibility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expiration of the time periods specified in paragraphs </w:t>
      </w:r>
      <w:hyperlink r:id="rId92">
        <w:r>
          <w:rPr>
            <w:rStyle w:val="Hyperlink"/>
            <w:rFonts w:ascii="Times New Roman" w:hAnsi="Times New Roman"/>
            <w:b w:val="false"/>
            <w:i w:val="false"/>
            <w:color w:val="000000"/>
            <w:sz w:val="22"/>
          </w:rPr>
          <w:t>15.19(4)</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applicant may apply for a further 12-month extension if the facility is still expected to become operational. Extensions may be renewed for succeeding 12-month periods if the applicant applies for the extension prior to expiration of the current extension period. If the applicant does not apply for further extension, the facility will lose eligibility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owners of a facility discontinue efforts to achieve operational status, the owners shall notify the commission. Upon the commission’s receipt of such notification, the facility will lose eligibility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facility loses eligibility status, the applicant may reapply to the commission for new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15.19(5)</w:t>
      </w:r>
      <w:r>
        <w:rPr>
          <w:rFonts w:ascii="Times New Roman" w:hAnsi="Times New Roman"/>
          <w:b w:val="false"/>
          <w:i w:val="false"/>
          <w:color w:val="000000"/>
          <w:sz w:val="22"/>
        </w:rPr>
        <w:t> </w:t>
      </w:r>
      <w:r>
        <w:rPr>
          <w:rFonts w:ascii="Times New Roman" w:hAnsi="Times New Roman"/>
          <w:b w:val="false"/>
          <w:i/>
          <w:color w:val="000000"/>
          <w:sz w:val="22"/>
        </w:rPr>
        <w:t xml:space="preserve">Allocation of capacity among eligible applicants. </w:t>
      </w:r>
      <w:r>
        <w:rPr>
          <w:rFonts w:ascii="Times New Roman" w:hAnsi="Times New Roman"/>
          <w:b w:val="false"/>
          <w:i w:val="false"/>
          <w:color w:val="000000"/>
          <w:sz w:val="22"/>
        </w:rPr>
        <w:t xml:space="preserve">Iowa Code section </w:t>
      </w:r>
      <w:hyperlink r:id="rId93">
        <w:r>
          <w:rPr>
            <w:rStyle w:val="Hyperlink"/>
            <w:rFonts w:ascii="Times New Roman" w:hAnsi="Times New Roman"/>
            <w:b w:val="false"/>
            <w:i w:val="false"/>
            <w:color w:val="000000"/>
            <w:sz w:val="22"/>
          </w:rPr>
          <w:t>476C.3(4)</w:t>
        </w:r>
      </w:hyperlink>
      <w:r>
        <w:rPr>
          <w:rFonts w:ascii="Times New Roman" w:hAnsi="Times New Roman"/>
          <w:b w:val="false"/>
          <w:i w:val="false"/>
          <w:color w:val="000000"/>
          <w:sz w:val="22"/>
        </w:rPr>
        <w:t xml:space="preserve"> establishes the maximum amounts of nameplate generating capacities and energy production capacity equivalents eligible for the tax credits. In the event the commission receives applications for tax credits that, in total, exceed the statutory limits, the commission will rule on the applications in the order they are received, based upon the date of receipt. Because the commission does not track the time of day that filings are made with the commission, if the commission receives more than one application on a particular date such that the combined capacity of the applications exceeds applicable statutory limits, the commission will allocate the final eligibility determinations proportionally among all applications received on that date. Alternatively, the commission may withhold this allocation unless a petition for allocation is filed with the commission by one of the applicants who filed its application on that particular date. If such a petition is submitted, the commission will notify all applicants who filed on that particular date, allowing each applicant to opt into the allocation within 45 days of the date of the filing of the petition. Applicants who opt in must comply with subrule </w:t>
      </w:r>
      <w:hyperlink r:id="rId94">
        <w:r>
          <w:rPr>
            <w:rStyle w:val="Hyperlink"/>
            <w:rFonts w:ascii="Times New Roman" w:hAnsi="Times New Roman"/>
            <w:b w:val="false"/>
            <w:i w:val="false"/>
            <w:color w:val="000000"/>
            <w:sz w:val="22"/>
          </w:rPr>
          <w:t>15.19(4)</w:t>
        </w:r>
      </w:hyperlink>
      <w:r>
        <w:rPr>
          <w:rFonts w:ascii="Times New Roman" w:hAnsi="Times New Roman"/>
          <w:b w:val="false"/>
          <w:i w:val="false"/>
          <w:color w:val="000000"/>
          <w:sz w:val="22"/>
        </w:rPr>
        <w:t xml:space="preserve"> after receiving eligibility under the allocation or lose their eligibility status. Applicants who do not opt in will maintain their original application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15.19(6)</w:t>
      </w:r>
      <w:r>
        <w:rPr>
          <w:rFonts w:ascii="Times New Roman" w:hAnsi="Times New Roman"/>
          <w:b w:val="false"/>
          <w:i w:val="false"/>
          <w:color w:val="000000"/>
          <w:sz w:val="22"/>
        </w:rPr>
        <w:t> </w:t>
      </w:r>
      <w:r>
        <w:rPr>
          <w:rFonts w:ascii="Times New Roman" w:hAnsi="Times New Roman"/>
          <w:b w:val="false"/>
          <w:i/>
          <w:color w:val="000000"/>
          <w:sz w:val="22"/>
        </w:rPr>
        <w:t xml:space="preserve">Waiting lists for excess applications. </w:t>
      </w:r>
      <w:r>
        <w:rPr>
          <w:rFonts w:ascii="Times New Roman" w:hAnsi="Times New Roman"/>
          <w:b w:val="false"/>
          <w:i w:val="false"/>
          <w:color w:val="000000"/>
          <w:sz w:val="22"/>
        </w:rPr>
        <w:t xml:space="preserve">The commission will maintain waiting lists of excess eligibility applications for facilities that might have received preliminary eligibility under subrule </w:t>
      </w:r>
      <w:hyperlink r:id="rId95">
        <w:r>
          <w:rPr>
            <w:rStyle w:val="Hyperlink"/>
            <w:rFonts w:ascii="Times New Roman" w:hAnsi="Times New Roman"/>
            <w:b w:val="false"/>
            <w:i w:val="false"/>
            <w:color w:val="000000"/>
            <w:sz w:val="22"/>
          </w:rPr>
          <w:t>15.19(2)</w:t>
        </w:r>
      </w:hyperlink>
      <w:r>
        <w:rPr>
          <w:rFonts w:ascii="Times New Roman" w:hAnsi="Times New Roman"/>
          <w:b w:val="false"/>
          <w:i w:val="false"/>
          <w:color w:val="000000"/>
          <w:sz w:val="22"/>
        </w:rPr>
        <w:t xml:space="preserve">, but for the maximum capacity and capability restrictions under subrule </w:t>
      </w:r>
      <w:hyperlink r:id="rId96">
        <w:r>
          <w:rPr>
            <w:rStyle w:val="Hyperlink"/>
            <w:rFonts w:ascii="Times New Roman" w:hAnsi="Times New Roman"/>
            <w:b w:val="false"/>
            <w:i w:val="false"/>
            <w:color w:val="000000"/>
            <w:sz w:val="22"/>
          </w:rPr>
          <w:t>15.19(5)</w:t>
        </w:r>
      </w:hyperlink>
      <w:r>
        <w:rPr>
          <w:rFonts w:ascii="Times New Roman" w:hAnsi="Times New Roman"/>
          <w:b w:val="false"/>
          <w:i w:val="false"/>
          <w:color w:val="000000"/>
          <w:sz w:val="22"/>
        </w:rPr>
        <w:t xml:space="preserve">. The priorities of the waiting lists will be in the order the applications were received, based upon the dates of receipt. If additional capacity becomes available within the capacity restrictions under subrule </w:t>
      </w:r>
      <w:hyperlink r:id="rId97">
        <w:r>
          <w:rPr>
            <w:rStyle w:val="Hyperlink"/>
            <w:rFonts w:ascii="Times New Roman" w:hAnsi="Times New Roman"/>
            <w:b w:val="false"/>
            <w:i w:val="false"/>
            <w:color w:val="000000"/>
            <w:sz w:val="22"/>
          </w:rPr>
          <w:t>15.19(5)</w:t>
        </w:r>
      </w:hyperlink>
      <w:r>
        <w:rPr>
          <w:rFonts w:ascii="Times New Roman" w:hAnsi="Times New Roman"/>
          <w:b w:val="false"/>
          <w:i w:val="false"/>
          <w:color w:val="000000"/>
          <w:sz w:val="22"/>
        </w:rPr>
        <w:t>, the commission will review the applications on the waiting lists based on their priorities, before reviewing new applications. Applications will be removed from the waiting lists after they are either approved or denied. Beginning August 31, 2007, each applicant on a waiting list shall annually provide the commission a statement of verification attesting that the information contained in the applicant’s eligibility application remains true and correct, or stating that the information has changed and providing the new information.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8">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8060B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 xml:space="preserve">; </w:t>
      </w:r>
      <w:r>
        <w:rPr>
          <w:rFonts w:ascii="Times New Roman" w:hAnsi="Times New Roman"/>
          <w:b/>
          <w:i w:val="false"/>
          <w:color w:val="000000"/>
          <w:sz w:val="16"/>
        </w:rPr>
        <w:t>ARC 8949B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9752B</w:t>
      </w:r>
      <w:r>
        <w:rPr>
          <w:rFonts w:ascii="Times New Roman" w:hAnsi="Times New Roman"/>
          <w:b w:val="false"/>
          <w:i w:val="false"/>
          <w:color w:val="000000"/>
          <w:sz w:val="16"/>
        </w:rPr>
        <w:t>, IAB 9/21/11, effective 10/26/11</w:t>
      </w:r>
      <w:r>
        <w:rPr>
          <w:rFonts w:ascii="Times New Roman" w:hAnsi="Times New Roman"/>
          <w:b w:val="false"/>
          <w:i w:val="false"/>
          <w:color w:val="000000"/>
          <w:sz w:val="16"/>
        </w:rPr>
        <w:t xml:space="preserve">; </w:t>
      </w:r>
      <w:r>
        <w:rPr>
          <w:rFonts w:ascii="Times New Roman" w:hAnsi="Times New Roman"/>
          <w:b/>
          <w:i w:val="false"/>
          <w:color w:val="000000"/>
          <w:sz w:val="16"/>
        </w:rPr>
        <w:t>ARC 1716C</w:t>
      </w:r>
      <w:r>
        <w:rPr>
          <w:rFonts w:ascii="Times New Roman" w:hAnsi="Times New Roman"/>
          <w:b w:val="false"/>
          <w:i w:val="false"/>
          <w:color w:val="000000"/>
          <w:sz w:val="16"/>
        </w:rPr>
        <w:t>, IAB 11/12/14, effective 12/17/14</w:t>
      </w:r>
      <w:r>
        <w:rPr>
          <w:rFonts w:ascii="Times New Roman" w:hAnsi="Times New Roman"/>
          <w:b w:val="false"/>
          <w:i w:val="false"/>
          <w:color w:val="000000"/>
          <w:sz w:val="16"/>
        </w:rPr>
        <w:t xml:space="preserve">; </w:t>
      </w:r>
      <w:r>
        <w:rPr>
          <w:rFonts w:ascii="Times New Roman" w:hAnsi="Times New Roman"/>
          <w:b/>
          <w:i w:val="false"/>
          <w:color w:val="000000"/>
          <w:sz w:val="16"/>
        </w:rPr>
        <w:t>ARC 2244C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199—15.20</w:t>
      </w:r>
      <w:r>
        <w:rPr>
          <w:rFonts w:ascii="Times New Roman" w:hAnsi="Times New Roman"/>
          <w:b/>
          <w:i w:val="false"/>
          <w:color w:val="000000"/>
          <w:sz w:val="22"/>
        </w:rPr>
        <w:t xml:space="preserve">(476B) </w:t>
      </w:r>
      <w:r>
        <w:rPr>
          <w:rFonts w:ascii="Times New Roman" w:hAnsi="Times New Roman"/>
          <w:b/>
          <w:i w:val="false"/>
          <w:color w:val="000000"/>
          <w:sz w:val="22"/>
        </w:rPr>
        <w:t xml:space="preserve">Applications for wind energy tax credits under Iowa Code chapter </w:t>
      </w:r>
      <w:hyperlink r:id="rId99">
        <w:r>
          <w:rPr>
            <w:rStyle w:val="Hyperlink"/>
            <w:rFonts w:ascii="Times New Roman" w:hAnsi="Times New Roman"/>
            <w:b/>
            <w:i w:val="false"/>
            <w:color w:val="000000"/>
            <w:sz w:val="22"/>
          </w:rPr>
          <w:t>476B</w:t>
        </w:r>
      </w:hyperlink>
      <w:r>
        <w:rPr>
          <w:rFonts w:ascii="Times New Roman" w:hAnsi="Times New Roman"/>
          <w:b/>
          <w:i w:val="false"/>
          <w:color w:val="000000"/>
          <w:sz w:val="22"/>
        </w:rPr>
        <w:t xml:space="preserve">. </w:t>
      </w:r>
      <w:r>
        <w:rPr>
          <w:rFonts w:ascii="Times New Roman" w:hAnsi="Times New Roman"/>
          <w:b w:val="false"/>
          <w:i w:val="false"/>
          <w:color w:val="000000"/>
          <w:sz w:val="22"/>
        </w:rPr>
        <w:t xml:space="preserve">The wind energy tax credits equal one cent per kilowatt-hour of electricity generated by eligible wind energy facilities under </w:t>
      </w:r>
      <w:hyperlink r:id="rId100">
        <w:r>
          <w:rPr>
            <w:rStyle w:val="Hyperlink"/>
            <w:rFonts w:ascii="Times New Roman" w:hAnsi="Times New Roman"/>
            <w:b w:val="false"/>
            <w:i w:val="false"/>
            <w:color w:val="000000"/>
            <w:sz w:val="22"/>
          </w:rPr>
          <w:t>199—15.18</w:t>
        </w:r>
      </w:hyperlink>
      <w:r>
        <w:rPr>
          <w:rFonts w:ascii="Times New Roman" w:hAnsi="Times New Roman"/>
          <w:b w:val="false"/>
          <w:i w:val="false"/>
          <w:color w:val="000000"/>
          <w:sz w:val="22"/>
        </w:rPr>
        <w:t>(476B), which is sold or used for on-site consumption by the owner, for tax years beginning on or after July 1, 2006. The owners of an eligible facility may apply for wind energy tax credits for up to ten tax years following the date the facility is placed in service. Wind energy tax credits will not be issued for wind energy sold or used for on-site consumption after June 30, 2022. For purposes of this rule, wind energy used for on-site consumption means any electricity produced by an eligible facility and not sold.</w:t>
      </w:r>
    </w:p>
    <w:p>
      <w:pPr>
        <w:spacing w:before="0" w:after="0"/>
        <w:ind w:left="120"/>
        <w:jc w:val="both"/>
      </w:pPr>
      <w:r>
        <w:rPr>
          <w:rFonts w:ascii="Times New Roman" w:hAnsi="Times New Roman"/>
          <w:b w:val="false"/>
          <w:i w:val="false"/>
          <w:color w:val="000000"/>
          <w:sz w:val="22"/>
        </w:rPr>
        <w:t>For the first tax year for which tax credits can be claimed, the kilowatt-hours generated by and purchased from an eligible facility may exceed 12 months’ production.</w:t>
      </w:r>
    </w:p>
    <w:p>
      <w:pPr>
        <w:spacing w:before="0" w:after="0"/>
        <w:ind w:left="120"/>
        <w:jc w:val="both"/>
      </w:pPr>
      <w:r>
        <w:rPr>
          <w:rFonts w:ascii="Times New Roman" w:hAnsi="Times New Roman"/>
          <w:b w:val="false"/>
          <w:i w:val="false"/>
          <w:color w:val="000000"/>
          <w:sz w:val="22"/>
        </w:rPr>
        <w:t>E</w:t>
      </w:r>
      <w:r>
        <w:rPr>
          <w:rFonts w:ascii="Times New Roman" w:hAnsi="Times New Roman"/>
          <w:b w:val="false"/>
          <w:i w:val="false"/>
          <w:color w:val="000000"/>
          <w:sz w:val="22"/>
        </w:rPr>
        <w:t>XAMPLE</w:t>
      </w:r>
      <w:r>
        <w:rPr>
          <w:rFonts w:ascii="Times New Roman" w:hAnsi="Times New Roman"/>
          <w:b w:val="false"/>
          <w:i w:val="false"/>
          <w:color w:val="000000"/>
          <w:sz w:val="22"/>
        </w:rPr>
        <w:t xml:space="preserve">: </w:t>
      </w:r>
      <w:r>
        <w:rPr>
          <w:rFonts w:ascii="Times New Roman" w:hAnsi="Times New Roman"/>
          <w:b w:val="false"/>
          <w:i w:val="false"/>
          <w:color w:val="000000"/>
          <w:sz w:val="22"/>
        </w:rPr>
        <w:t>An eligible facility was placed in service on April 1, 2006, and the taxpayer files on a calendar-year basis. The first year for which tax credits can be claimed is the year ending December 31, 2007, since that is the first tax year that began on or after July 1, 2006. The credits for the 2007 tax year can include energy produced and purchased between April 1, 2006, and December 31, 2007.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15.20(1)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for wind energy tax credits. </w:t>
      </w:r>
      <w:r>
        <w:rPr>
          <w:rFonts w:ascii="Times New Roman" w:hAnsi="Times New Roman"/>
          <w:b w:val="false"/>
          <w:i w:val="false"/>
          <w:color w:val="000000"/>
          <w:sz w:val="22"/>
        </w:rPr>
        <w:t xml:space="preserve">A wind energy facility must be approved as eligible by the commission under </w:t>
      </w:r>
      <w:hyperlink r:id="rId101">
        <w:r>
          <w:rPr>
            <w:rStyle w:val="Hyperlink"/>
            <w:rFonts w:ascii="Times New Roman" w:hAnsi="Times New Roman"/>
            <w:b w:val="false"/>
            <w:i w:val="false"/>
            <w:color w:val="000000"/>
            <w:sz w:val="22"/>
          </w:rPr>
          <w:t>199—15.18</w:t>
        </w:r>
      </w:hyperlink>
      <w:r>
        <w:rPr>
          <w:rFonts w:ascii="Times New Roman" w:hAnsi="Times New Roman"/>
          <w:b w:val="false"/>
          <w:i w:val="false"/>
          <w:color w:val="000000"/>
          <w:sz w:val="22"/>
        </w:rPr>
        <w:t>(476B) in order to qualify for wind energy tax credits.</w:t>
      </w:r>
    </w:p>
    <w:p>
      <w:pPr>
        <w:spacing w:before="0" w:after="0"/>
        <w:ind w:left="120"/>
        <w:jc w:val="both"/>
      </w:pPr>
      <w:r>
        <w:rPr>
          <w:rFonts w:ascii="Times New Roman" w:hAnsi="Times New Roman"/>
          <w:b w:val="false"/>
          <w:i w:val="false"/>
          <w:color w:val="000000"/>
          <w:sz w:val="22"/>
        </w:rPr>
        <w:t xml:space="preserve">If the facility is located in a city or county neither of which has enacted an ordinance under Iowa Code section </w:t>
      </w:r>
      <w:hyperlink r:id="rId102">
        <w:r>
          <w:rPr>
            <w:rStyle w:val="Hyperlink"/>
            <w:rFonts w:ascii="Times New Roman" w:hAnsi="Times New Roman"/>
            <w:b w:val="false"/>
            <w:i w:val="false"/>
            <w:color w:val="000000"/>
            <w:sz w:val="22"/>
          </w:rPr>
          <w:t>427B.26</w:t>
        </w:r>
      </w:hyperlink>
      <w:r>
        <w:rPr>
          <w:rFonts w:ascii="Times New Roman" w:hAnsi="Times New Roman"/>
          <w:b w:val="false"/>
          <w:i w:val="false"/>
          <w:color w:val="000000"/>
          <w:sz w:val="22"/>
        </w:rPr>
        <w:t xml:space="preserve">, or if the facility is not eligible for special valuation pursuant to an ordinance adopted by the city or county under Iowa Code section </w:t>
      </w:r>
      <w:hyperlink r:id="rId103">
        <w:r>
          <w:rPr>
            <w:rStyle w:val="Hyperlink"/>
            <w:rFonts w:ascii="Times New Roman" w:hAnsi="Times New Roman"/>
            <w:b w:val="false"/>
            <w:i w:val="false"/>
            <w:color w:val="000000"/>
            <w:sz w:val="22"/>
          </w:rPr>
          <w:t>427B.26</w:t>
        </w:r>
      </w:hyperlink>
      <w:r>
        <w:rPr>
          <w:rFonts w:ascii="Times New Roman" w:hAnsi="Times New Roman"/>
          <w:b w:val="false"/>
          <w:i w:val="false"/>
          <w:color w:val="000000"/>
          <w:sz w:val="22"/>
        </w:rPr>
        <w:t xml:space="preserve">, the wind energy facility must also be approved by the city council or county board of supervisors of the city or county in which the facility is located, in accordance with Iowa Code section </w:t>
      </w:r>
      <w:hyperlink r:id="rId104">
        <w:r>
          <w:rPr>
            <w:rStyle w:val="Hyperlink"/>
            <w:rFonts w:ascii="Times New Roman" w:hAnsi="Times New Roman"/>
            <w:b w:val="false"/>
            <w:i w:val="false"/>
            <w:color w:val="000000"/>
            <w:sz w:val="22"/>
          </w:rPr>
          <w:t>476B.6(1)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456</w:t>
      </w:r>
      <w:r>
        <w:rPr>
          <w:rFonts w:ascii="Times New Roman" w:hAnsi="Times New Roman"/>
          <w:b w:val="false"/>
          <w:i w:val="false"/>
          <w:color w:val="000000"/>
          <w:sz w:val="22"/>
        </w:rPr>
        <w:t>, section 4. Once the owners receive approval from their city council or county board of supervisors, additional approval from the city council or county board of supervisors is not required for subsequent tax years.</w:t>
      </w:r>
    </w:p>
    <w:p>
      <w:pPr>
        <w:spacing w:before="0" w:after="0"/>
        <w:ind w:left="120"/>
        <w:jc w:val="both"/>
      </w:pPr>
      <w:r>
        <w:rPr>
          <w:rFonts w:ascii="Times New Roman" w:hAnsi="Times New Roman"/>
          <w:b w:val="false"/>
          <w:i w:val="false"/>
          <w:color w:val="000000"/>
          <w:sz w:val="22"/>
        </w:rPr>
        <w:t xml:space="preserve">Tax credit applications for eligible facilities must be filed with the commission no later than 30 days after the close of the tax year for which the credits are to be applied. The tax credit applications must be filed in paper format and are not subject to the electronic filing requirements of </w:t>
      </w:r>
      <w:hyperlink r:id="rId105">
        <w:r>
          <w:rPr>
            <w:rStyle w:val="Hyperlink"/>
            <w:rFonts w:ascii="Times New Roman" w:hAnsi="Times New Roman"/>
            <w:b w:val="false"/>
            <w:i w:val="false"/>
            <w:color w:val="000000"/>
            <w:sz w:val="22"/>
          </w:rPr>
          <w:t>199—14.2</w:t>
        </w:r>
      </w:hyperlink>
      <w:r>
        <w:rPr>
          <w:rFonts w:ascii="Times New Roman" w:hAnsi="Times New Roman"/>
          <w:b w:val="false"/>
          <w:i w:val="false"/>
          <w:color w:val="000000"/>
          <w:sz w:val="22"/>
        </w:rPr>
        <w:t>(17A,476). The tax credit applications will be held confidential by the commission and the department of revenue as, among other things, documents containing customer-specific or personal information (</w:t>
      </w:r>
      <w:hyperlink r:id="rId106">
        <w:r>
          <w:rPr>
            <w:rStyle w:val="Hyperlink"/>
            <w:rFonts w:ascii="Times New Roman" w:hAnsi="Times New Roman"/>
            <w:b w:val="false"/>
            <w:i w:val="false"/>
            <w:color w:val="000000"/>
            <w:sz w:val="22"/>
          </w:rPr>
          <w:t>199—paragraph 1.9(5)</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information related to tax returns (Iowa Code section </w:t>
      </w:r>
      <w:hyperlink r:id="rId107">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The information will be held confidential by the commission upon filing, and by the department of revenue upon receipt from the commission, and will be subject to the provisions of </w:t>
      </w:r>
      <w:hyperlink r:id="rId108">
        <w:r>
          <w:rPr>
            <w:rStyle w:val="Hyperlink"/>
            <w:rFonts w:ascii="Times New Roman" w:hAnsi="Times New Roman"/>
            <w:b w:val="false"/>
            <w:i w:val="false"/>
            <w:color w:val="000000"/>
            <w:sz w:val="22"/>
          </w:rPr>
          <w:t>199—subparagraph 1.9(8)</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Accordingly, the applicant should mark each of the pages of the tax credit application “CONFIDENTIAL” in bold or large letters.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facility is jointly owned, then owners applying for the tax credits must file their application jointly. For each application, an original and two copies must be filed according to the following format, including a cover letter that cites this rule (</w:t>
      </w:r>
      <w:hyperlink r:id="rId109">
        <w:r>
          <w:rPr>
            <w:rStyle w:val="Hyperlink"/>
            <w:rFonts w:ascii="Times New Roman" w:hAnsi="Times New Roman"/>
            <w:b w:val="false"/>
            <w:i w:val="false"/>
            <w:color w:val="000000"/>
            <w:sz w:val="22"/>
          </w:rPr>
          <w:t>199—15.20</w:t>
        </w:r>
      </w:hyperlink>
      <w:r>
        <w:rPr>
          <w:rFonts w:ascii="Times New Roman" w:hAnsi="Times New Roman"/>
          <w:b w:val="false"/>
          <w:i w:val="false"/>
          <w:color w:val="000000"/>
          <w:sz w:val="22"/>
        </w:rPr>
        <w:t>(476B)), and the following 13 information items separately identified by item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original application for facility eligibility under </w:t>
      </w:r>
      <w:hyperlink r:id="rId110">
        <w:r>
          <w:rPr>
            <w:rStyle w:val="Hyperlink"/>
            <w:rFonts w:ascii="Times New Roman" w:hAnsi="Times New Roman"/>
            <w:b w:val="false"/>
            <w:i w:val="false"/>
            <w:color w:val="000000"/>
            <w:sz w:val="22"/>
          </w:rPr>
          <w:t>199—15.18</w:t>
        </w:r>
      </w:hyperlink>
      <w:r>
        <w:rPr>
          <w:rFonts w:ascii="Times New Roman" w:hAnsi="Times New Roman"/>
          <w:b w:val="false"/>
          <w:i w:val="false"/>
          <w:color w:val="000000"/>
          <w:sz w:val="22"/>
        </w:rPr>
        <w:t>(476B), plus any subsequent amendments to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commission’s determination approving the facility as eligible for tax credits under </w:t>
      </w:r>
      <w:hyperlink r:id="rId111">
        <w:r>
          <w:rPr>
            <w:rStyle w:val="Hyperlink"/>
            <w:rFonts w:ascii="Times New Roman" w:hAnsi="Times New Roman"/>
            <w:b w:val="false"/>
            <w:i w:val="false"/>
            <w:color w:val="000000"/>
            <w:sz w:val="22"/>
          </w:rPr>
          <w:t>199—15.18</w:t>
        </w:r>
      </w:hyperlink>
      <w:r>
        <w:rPr>
          <w:rFonts w:ascii="Times New Roman" w:hAnsi="Times New Roman"/>
          <w:b w:val="false"/>
          <w:i w:val="false"/>
          <w:color w:val="000000"/>
          <w:sz w:val="22"/>
        </w:rPr>
        <w:t>(476B).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copy of the city council’s or county board of supervisors’ approval, from the city or county in which the facility is located, issued pursuant to Iowa Code section </w:t>
      </w:r>
      <w:hyperlink r:id="rId112">
        <w:r>
          <w:rPr>
            <w:rStyle w:val="Hyperlink"/>
            <w:rFonts w:ascii="Times New Roman" w:hAnsi="Times New Roman"/>
            <w:b w:val="false"/>
            <w:i w:val="false"/>
            <w:color w:val="000000"/>
            <w:sz w:val="22"/>
          </w:rPr>
          <w:t>476B.6(1)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456</w:t>
      </w:r>
      <w:r>
        <w:rPr>
          <w:rFonts w:ascii="Times New Roman" w:hAnsi="Times New Roman"/>
          <w:b w:val="false"/>
          <w:i w:val="false"/>
          <w:color w:val="000000"/>
          <w:sz w:val="22"/>
        </w:rPr>
        <w:t xml:space="preserve">, section 4; or a statement explaining why such approval is not required under Iowa Code section </w:t>
      </w:r>
      <w:hyperlink r:id="rId113">
        <w:r>
          <w:rPr>
            <w:rStyle w:val="Hyperlink"/>
            <w:rFonts w:ascii="Times New Roman" w:hAnsi="Times New Roman"/>
            <w:b w:val="false"/>
            <w:i w:val="false"/>
            <w:color w:val="000000"/>
            <w:sz w:val="22"/>
          </w:rPr>
          <w:t>476B.6(1)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456</w:t>
      </w:r>
      <w:r>
        <w:rPr>
          <w:rFonts w:ascii="Times New Roman" w:hAnsi="Times New Roman"/>
          <w:b w:val="false"/>
          <w:i w:val="false"/>
          <w:color w:val="000000"/>
          <w:sz w:val="22"/>
        </w:rPr>
        <w:t>, section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attesting that neither the owners nor the purchaser have received renewable energy tax credits for the facility under </w:t>
      </w:r>
      <w:hyperlink r:id="rId114">
        <w:r>
          <w:rPr>
            <w:rStyle w:val="Hyperlink"/>
            <w:rFonts w:ascii="Times New Roman" w:hAnsi="Times New Roman"/>
            <w:b w:val="false"/>
            <w:i w:val="false"/>
            <w:color w:val="000000"/>
            <w:sz w:val="22"/>
          </w:rPr>
          <w:t>199—15.21</w:t>
        </w:r>
      </w:hyperlink>
      <w:r>
        <w:rPr>
          <w:rFonts w:ascii="Times New Roman" w:hAnsi="Times New Roman"/>
          <w:b w:val="false"/>
          <w:i w:val="false"/>
          <w:color w:val="000000"/>
          <w:sz w:val="22"/>
        </w:rPr>
        <w:t>(476C).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any electricity sold, a copy of the executed power purchase agreement or other agreement to purchase electricity. Alternatively, a copy of an executed interconnection agreement or transmission service agreement is acceptable if the owners have elected to sell electricity from the facility directly or indirectly to a wholesale power pool market.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any electricity sold, the owner must provide a statement attesting that the electricity for which tax credits are sought has been generated by the eligible facility and sold to an unrelated purchaser. For purposes of the wind energy tax credits, the definition of “related person” is the same as specified in department of revenue </w:t>
      </w:r>
      <w:hyperlink r:id="rId115">
        <w:r>
          <w:rPr>
            <w:rStyle w:val="Hyperlink"/>
            <w:rFonts w:ascii="Times New Roman" w:hAnsi="Times New Roman"/>
            <w:b w:val="false"/>
            <w:i w:val="false"/>
            <w:color w:val="000000"/>
            <w:sz w:val="22"/>
          </w:rPr>
          <w:t>701—subrules 42.25(2)</w:t>
        </w:r>
      </w:hyperlink>
      <w:r>
        <w:rPr>
          <w:rFonts w:ascii="Times New Roman" w:hAnsi="Times New Roman"/>
          <w:b w:val="false"/>
          <w:i w:val="false"/>
          <w:color w:val="000000"/>
          <w:sz w:val="22"/>
        </w:rPr>
        <w:t xml:space="preserve"> and </w:t>
      </w:r>
      <w:hyperlink r:id="rId116">
        <w:r>
          <w:rPr>
            <w:rStyle w:val="Hyperlink"/>
            <w:rFonts w:ascii="Times New Roman" w:hAnsi="Times New Roman"/>
            <w:b w:val="false"/>
            <w:i w:val="false"/>
            <w:color w:val="000000"/>
            <w:sz w:val="22"/>
          </w:rPr>
          <w:t>52.26(2)</w:t>
        </w:r>
      </w:hyperlink>
      <w:r>
        <w:rPr>
          <w:rFonts w:ascii="Times New Roman" w:hAnsi="Times New Roman"/>
          <w:b w:val="false"/>
          <w:i w:val="false"/>
          <w:color w:val="000000"/>
          <w:sz w:val="22"/>
        </w:rPr>
        <w:t>. That is, the definition of “related person” uses the same criteria set forth in Section 45(e)(4) of the Internal Revenue Code relating to the federal renewable electricity production credit. Persons shall be treated as related to each other if such persons are treated as a single employer under Treasury Regulation §1.52-1. In the case of a corporation that is a member of an affiliated group of corporations filing a federal consolidated return, such corporation shall be treated as selling electricity to an unrelated person if such electricity is sold to the person by another member of the affiliated group.</w:t>
      </w:r>
    </w:p>
    <w:p>
      <w:pPr>
        <w:spacing w:before="0" w:after="0"/>
        <w:ind w:left="120"/>
        <w:jc w:val="both"/>
      </w:pPr>
      <w:r>
        <w:rPr>
          <w:rFonts w:ascii="Times New Roman" w:hAnsi="Times New Roman"/>
          <w:b w:val="false"/>
          <w:i w:val="false"/>
          <w:color w:val="000000"/>
          <w:sz w:val="22"/>
        </w:rPr>
        <w:t>For any electricity used for on-site consumption, the owner must provide a signed statement attesting under penalty of perjury that the electricity for which tax credits are sought was generated by the eligible facility and not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date that the eligible facility was placed in service (that is, between July 1, 2005, and July 1, 2012).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total number of kilowatt-hours of electricity generated by the facility during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For any electricity sold, invoices or other information that documents the number of kilowatt-hours of electricity generated by the eligible facility and sold to an unrelated purchaser during the tax year.</w:t>
      </w:r>
    </w:p>
    <w:p>
      <w:pPr>
        <w:spacing w:before="0" w:after="0"/>
        <w:ind w:left="120"/>
        <w:jc w:val="both"/>
      </w:pPr>
      <w:r>
        <w:rPr>
          <w:rFonts w:ascii="Times New Roman" w:hAnsi="Times New Roman"/>
          <w:b w:val="false"/>
          <w:i w:val="false"/>
          <w:color w:val="000000"/>
          <w:sz w:val="22"/>
        </w:rPr>
        <w:t>For any electricity used for on-site consumption, the number of kilowatt-hours of electricity generated by the eligible facility during the tax year and not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the facility owners, including the name, address, and tax identification number of each owner, and the percentage of equity interest held by each owner during the period for which wind energy tax credits will be sought under Iowa Code chapter </w:t>
      </w:r>
      <w:hyperlink r:id="rId117">
        <w:r>
          <w:rPr>
            <w:rStyle w:val="Hyperlink"/>
            <w:rFonts w:ascii="Times New Roman" w:hAnsi="Times New Roman"/>
            <w:b w:val="false"/>
            <w:i w:val="false"/>
            <w:color w:val="000000"/>
            <w:sz w:val="22"/>
          </w:rPr>
          <w:t>476B</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456</w:t>
      </w:r>
      <w:r>
        <w:rPr>
          <w:rFonts w:ascii="Times New Roman" w:hAnsi="Times New Roman"/>
          <w:b w:val="false"/>
          <w:i w:val="false"/>
          <w:color w:val="000000"/>
          <w:sz w:val="22"/>
        </w:rPr>
        <w:t xml:space="preserve">. If an owner is other than a natural person, information regarding the equity owners must also be provided. This information shall be consistent with information provided in the original application for facility eligibility, as amended, under </w:t>
      </w:r>
      <w:hyperlink r:id="rId118">
        <w:r>
          <w:rPr>
            <w:rStyle w:val="Hyperlink"/>
            <w:rFonts w:ascii="Times New Roman" w:hAnsi="Times New Roman"/>
            <w:b w:val="false"/>
            <w:i w:val="false"/>
            <w:color w:val="000000"/>
            <w:sz w:val="22"/>
          </w:rPr>
          <w:t>199—15.18</w:t>
        </w:r>
      </w:hyperlink>
      <w:r>
        <w:rPr>
          <w:rFonts w:ascii="Times New Roman" w:hAnsi="Times New Roman"/>
          <w:b w:val="false"/>
          <w:i w:val="false"/>
          <w:color w:val="000000"/>
          <w:sz w:val="22"/>
        </w:rPr>
        <w:t>(476B).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type of tax for which the credits will be applied and the first tax year in which the credits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Identification of any applicants that are eligible to receive renewable electricity production credits authorized under Section 45 of the Internal Revenue Code. This identification should include a statement from the applicant attesting to the applicant’s eligibility and any available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of the applicants is a partnership, limited liability company, S corporation, estate, trust, or any other reporting entity, all of whose income is taxed directly to its equity holders or beneficiaries for taxes imposed under Iowa Code chapter </w:t>
      </w:r>
      <w:hyperlink r:id="rId119">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division II or III, the application shall include a list of the partners, members, shareholders, or beneficiaries of the entity. This list shall include the name, address, tax identification number, and pro-rata share of earnings from the entity, for each of the partners, members, shareholders, or beneficiaries of the entity. The wind energy tax credits will flow through to the entity’s partners, shareholders, or members in accordance with their pro-rata share of earnings from the entity.</w:t>
      </w:r>
    </w:p>
    <w:p>
      <w:pPr>
        <w:spacing w:before="0" w:after="0"/>
        <w:ind w:left="120"/>
        <w:jc w:val="both"/>
      </w:pPr>
      <w:r>
        <w:rPr>
          <w:rFonts w:ascii="Times New Roman" w:hAnsi="Times New Roman"/>
          <w:b w:val="false"/>
          <w:i w:val="false"/>
          <w:color w:val="000000"/>
          <w:sz w:val="22"/>
        </w:rPr>
        <w:t xml:space="preserve">If the entity is also eligible to receive renewable electricity production credits authorized under Section 45 of the Internal Revenue Code, the entity may designate specific partners if the business is a partnership, shareholders if the business is an S corporation, or members if the business is a limited liability company, to receive the wind energy tax credits issued under Iowa Code chapter </w:t>
      </w:r>
      <w:hyperlink r:id="rId120">
        <w:r>
          <w:rPr>
            <w:rStyle w:val="Hyperlink"/>
            <w:rFonts w:ascii="Times New Roman" w:hAnsi="Times New Roman"/>
            <w:b w:val="false"/>
            <w:i w:val="false"/>
            <w:color w:val="000000"/>
            <w:sz w:val="22"/>
          </w:rPr>
          <w:t>476B</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456</w:t>
      </w:r>
      <w:r>
        <w:rPr>
          <w:rFonts w:ascii="Times New Roman" w:hAnsi="Times New Roman"/>
          <w:b w:val="false"/>
          <w:i w:val="false"/>
          <w:color w:val="000000"/>
          <w:sz w:val="22"/>
        </w:rPr>
        <w:t>, and the percentage allocable to each. Such an entity may also designate a percentage of the tax credits allocable to an equity holder or beneficiary as a liquidating distribution or portion thereof, of a holder or beneficiary’s interest in the applicant entity. Otherwise, in the absence of such designations, the wind energy tax credits will flow through to the entity’s partners, shareholders, or members in accordance with their pro-rata share of earnings from the entity.</w:t>
      </w:r>
    </w:p>
    <w:p>
      <w:pPr>
        <w:spacing w:before="0" w:after="0"/>
        <w:ind w:left="120"/>
        <w:jc w:val="both"/>
      </w:pPr>
      <w:r>
        <w:rPr>
          <w:rFonts w:ascii="Times New Roman" w:hAnsi="Times New Roman"/>
          <w:b w:val="false"/>
          <w:i w:val="false"/>
          <w:color w:val="000000"/>
          <w:sz w:val="22"/>
        </w:rPr>
        <w:t xml:space="preserve">Alternatively, the tax credits will be issued directly to the entity if the entity is a partnership, limited liability company, S corporation, estate, trust, or any other reporting entity, all of whose income is taxed directly to its equity holders or beneficiaries for taxes imposed under Iowa Code chapter </w:t>
      </w:r>
      <w:hyperlink r:id="rId121">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division V, or under Iowa Code chapter </w:t>
      </w:r>
      <w:hyperlink r:id="rId122">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w:t>
      </w:r>
      <w:hyperlink r:id="rId123">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xml:space="preserve">, or </w:t>
      </w:r>
      <w:hyperlink r:id="rId124">
        <w:r>
          <w:rPr>
            <w:rStyle w:val="Hyperlink"/>
            <w:rFonts w:ascii="Times New Roman" w:hAnsi="Times New Roman"/>
            <w:b w:val="false"/>
            <w:i w:val="false"/>
            <w:color w:val="000000"/>
            <w:sz w:val="22"/>
          </w:rPr>
          <w:t>437A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will forward the tax credit applications to the department of revenue for review and processing. Along with each forwarded application, the commission will provide staff analysis and opinion regarding: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completeness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facility’s eligibility status under </w:t>
      </w:r>
      <w:hyperlink r:id="rId125">
        <w:r>
          <w:rPr>
            <w:rStyle w:val="Hyperlink"/>
            <w:rFonts w:ascii="Times New Roman" w:hAnsi="Times New Roman"/>
            <w:b w:val="false"/>
            <w:i w:val="false"/>
            <w:color w:val="000000"/>
            <w:sz w:val="22"/>
          </w:rPr>
          <w:t>199—15.18</w:t>
        </w:r>
      </w:hyperlink>
      <w:r>
        <w:rPr>
          <w:rFonts w:ascii="Times New Roman" w:hAnsi="Times New Roman"/>
          <w:b w:val="false"/>
          <w:i w:val="false"/>
          <w:color w:val="000000"/>
          <w:sz w:val="22"/>
        </w:rPr>
        <w:t>(476B).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reported kilowatt-hours of electricity generated by the facility and sold or used by the owner for on-site consumption during the tax year seem accurate and eligible for wind energy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15.20(2)</w:t>
      </w:r>
      <w:r>
        <w:rPr>
          <w:rFonts w:ascii="Times New Roman" w:hAnsi="Times New Roman"/>
          <w:b w:val="false"/>
          <w:i w:val="false"/>
          <w:color w:val="000000"/>
          <w:sz w:val="22"/>
        </w:rPr>
        <w:t> </w:t>
      </w:r>
      <w:r>
        <w:rPr>
          <w:rFonts w:ascii="Times New Roman" w:hAnsi="Times New Roman"/>
          <w:b w:val="false"/>
          <w:i/>
          <w:color w:val="000000"/>
          <w:sz w:val="22"/>
        </w:rPr>
        <w:t xml:space="preserve">Review process and computation of wind energy tax credits. </w:t>
      </w:r>
      <w:r>
        <w:rPr>
          <w:rFonts w:ascii="Times New Roman" w:hAnsi="Times New Roman"/>
          <w:b w:val="false"/>
          <w:i w:val="false"/>
          <w:color w:val="000000"/>
          <w:sz w:val="22"/>
        </w:rPr>
        <w:t xml:space="preserve">The department of revenue will review the applications and opinions forwarded by the commission, calculate the tax credits, and issue wind energy tax credit certificates to the facility owners, in accordance with department of revenue requirements and procedures under rules </w:t>
      </w:r>
      <w:hyperlink r:id="rId126">
        <w:r>
          <w:rPr>
            <w:rStyle w:val="Hyperlink"/>
            <w:rFonts w:ascii="Times New Roman" w:hAnsi="Times New Roman"/>
            <w:b w:val="false"/>
            <w:i w:val="false"/>
            <w:color w:val="000000"/>
            <w:sz w:val="22"/>
          </w:rPr>
          <w:t>701—42.25</w:t>
        </w:r>
      </w:hyperlink>
      <w:r>
        <w:rPr>
          <w:rFonts w:ascii="Times New Roman" w:hAnsi="Times New Roman"/>
          <w:b w:val="false"/>
          <w:i w:val="false"/>
          <w:color w:val="000000"/>
          <w:sz w:val="22"/>
        </w:rPr>
        <w:t xml:space="preserve">(422,476B), </w:t>
      </w:r>
      <w:hyperlink r:id="rId127">
        <w:r>
          <w:rPr>
            <w:rStyle w:val="Hyperlink"/>
            <w:rFonts w:ascii="Times New Roman" w:hAnsi="Times New Roman"/>
            <w:b w:val="false"/>
            <w:i w:val="false"/>
            <w:color w:val="000000"/>
            <w:sz w:val="22"/>
          </w:rPr>
          <w:t>701—52.26</w:t>
        </w:r>
      </w:hyperlink>
      <w:r>
        <w:rPr>
          <w:rFonts w:ascii="Times New Roman" w:hAnsi="Times New Roman"/>
          <w:b w:val="false"/>
          <w:i w:val="false"/>
          <w:color w:val="000000"/>
          <w:sz w:val="22"/>
        </w:rPr>
        <w:t xml:space="preserve">(422,476B), and </w:t>
      </w:r>
      <w:hyperlink r:id="rId128">
        <w:r>
          <w:rPr>
            <w:rStyle w:val="Hyperlink"/>
            <w:rFonts w:ascii="Times New Roman" w:hAnsi="Times New Roman"/>
            <w:b w:val="false"/>
            <w:i w:val="false"/>
            <w:color w:val="000000"/>
            <w:sz w:val="22"/>
          </w:rPr>
          <w:t>701—58.15</w:t>
        </w:r>
      </w:hyperlink>
      <w:r>
        <w:rPr>
          <w:rFonts w:ascii="Times New Roman" w:hAnsi="Times New Roman"/>
          <w:b w:val="false"/>
          <w:i w:val="false"/>
          <w:color w:val="000000"/>
          <w:sz w:val="22"/>
        </w:rPr>
        <w:t>(422,476B).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8060B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199—15.21</w:t>
      </w:r>
      <w:r>
        <w:rPr>
          <w:rFonts w:ascii="Times New Roman" w:hAnsi="Times New Roman"/>
          <w:b/>
          <w:i w:val="false"/>
          <w:color w:val="000000"/>
          <w:sz w:val="22"/>
        </w:rPr>
        <w:t xml:space="preserve">(476C) </w:t>
      </w:r>
      <w:r>
        <w:rPr>
          <w:rFonts w:ascii="Times New Roman" w:hAnsi="Times New Roman"/>
          <w:b/>
          <w:i w:val="false"/>
          <w:color w:val="000000"/>
          <w:sz w:val="22"/>
        </w:rPr>
        <w:t xml:space="preserve">Applications for renewable energy tax credits under Iowa Code chapter </w:t>
      </w:r>
      <w:hyperlink r:id="rId129">
        <w:r>
          <w:rPr>
            <w:rStyle w:val="Hyperlink"/>
            <w:rFonts w:ascii="Times New Roman" w:hAnsi="Times New Roman"/>
            <w:b/>
            <w:i w:val="false"/>
            <w:color w:val="000000"/>
            <w:sz w:val="22"/>
          </w:rPr>
          <w:t>476C</w:t>
        </w:r>
      </w:hyperlink>
      <w:r>
        <w:rPr>
          <w:rFonts w:ascii="Times New Roman" w:hAnsi="Times New Roman"/>
          <w:b/>
          <w:i w:val="false"/>
          <w:color w:val="000000"/>
          <w:sz w:val="22"/>
        </w:rPr>
        <w:t xml:space="preserve">. </w:t>
      </w:r>
      <w:r>
        <w:rPr>
          <w:rFonts w:ascii="Times New Roman" w:hAnsi="Times New Roman"/>
          <w:b w:val="false"/>
          <w:i w:val="false"/>
          <w:color w:val="000000"/>
          <w:sz w:val="22"/>
        </w:rPr>
        <w:t xml:space="preserve">The renewable energy tax credits equal 1.5 cents per kilowatt-hour of electricity, or 44 cents per 1,000 standard cubic feet of hydrogen fuel, or $4.50 per 1 million British thermal units of methane gas or other biogas used to generate electricity, or $4.50 per 1 million British thermal units of heat for a commercial purpose, generated by eligible renewable energy facilities under </w:t>
      </w:r>
      <w:hyperlink r:id="rId130">
        <w:r>
          <w:rPr>
            <w:rStyle w:val="Hyperlink"/>
            <w:rFonts w:ascii="Times New Roman" w:hAnsi="Times New Roman"/>
            <w:b w:val="false"/>
            <w:i w:val="false"/>
            <w:color w:val="000000"/>
            <w:sz w:val="22"/>
          </w:rPr>
          <w:t>199—15.19</w:t>
        </w:r>
      </w:hyperlink>
      <w:r>
        <w:rPr>
          <w:rFonts w:ascii="Times New Roman" w:hAnsi="Times New Roman"/>
          <w:b w:val="false"/>
          <w:i w:val="false"/>
          <w:color w:val="000000"/>
          <w:sz w:val="22"/>
        </w:rPr>
        <w:t>(476C), which is sold or used for on-site consumption by the owners, for tax years beginning on or after July 1, 2006. For renewable energy that is sold, either the owners of an eligible facility or a designated purchaser of renewable energy from the facility may apply for renewable energy tax credits for up to ten tax years following the date the facility is placed in service. For renewable energy used for on-site consumption, the owners of an eligible facility may apply for renewable energy tax credits for up to ten tax years following the date the facility is placed in service. Renewable energy tax credits will not be issued for renewable energy sold or used for on-site consumption after December 31, 2026. For purposes of this rule, renewable energy used for on-site consumption means any renewable energy produced by the facility and not sold.</w:t>
      </w:r>
    </w:p>
    <w:p>
      <w:pPr>
        <w:spacing w:before="0" w:after="0"/>
        <w:ind w:left="120"/>
        <w:jc w:val="both"/>
      </w:pPr>
      <w:r>
        <w:rPr>
          <w:rFonts w:ascii="Times New Roman" w:hAnsi="Times New Roman"/>
          <w:b w:val="false"/>
          <w:i w:val="false"/>
          <w:color w:val="000000"/>
          <w:sz w:val="22"/>
        </w:rPr>
        <w:t>For the first tax year for which tax credits can be claimed, the kilowatt-hours, standard cubic feet, or British thermal units generated by and purchased from an eligible facility may exceed 12 months’ production.</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An eligible facility was placed in service on April 1, 2006, and the taxpayer files on a calendar-year basis. The first year for which tax credits can be claimed is the year ending December 31, 2007, since that is the first tax year that began on or after July 1, 2006. The credit for the 2007 tax year can include renewable energy produced and purchased between April 1, 2006, and December 31, 2007.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for renewable energy tax credits. </w:t>
      </w:r>
      <w:r>
        <w:rPr>
          <w:rFonts w:ascii="Times New Roman" w:hAnsi="Times New Roman"/>
          <w:b w:val="false"/>
          <w:i w:val="false"/>
          <w:color w:val="000000"/>
          <w:sz w:val="22"/>
        </w:rPr>
        <w:t xml:space="preserve">A renewable energy facility must be approved as eligible by the commission under </w:t>
      </w:r>
      <w:hyperlink r:id="rId131">
        <w:r>
          <w:rPr>
            <w:rStyle w:val="Hyperlink"/>
            <w:rFonts w:ascii="Times New Roman" w:hAnsi="Times New Roman"/>
            <w:b w:val="false"/>
            <w:i w:val="false"/>
            <w:color w:val="000000"/>
            <w:sz w:val="22"/>
          </w:rPr>
          <w:t>199—15.19</w:t>
        </w:r>
      </w:hyperlink>
      <w:r>
        <w:rPr>
          <w:rFonts w:ascii="Times New Roman" w:hAnsi="Times New Roman"/>
          <w:b w:val="false"/>
          <w:i w:val="false"/>
          <w:color w:val="000000"/>
          <w:sz w:val="22"/>
        </w:rPr>
        <w:t xml:space="preserve">(476C) in order to qualify for renewable energy tax credits. Tax credit applications must be filed with the commission no later than 30 days after the close of the tax year for which the credits are to be applied. The tax credit applications must be filed in paper format and are not subject to the electronic filing requirements of </w:t>
      </w:r>
      <w:hyperlink r:id="rId132">
        <w:r>
          <w:rPr>
            <w:rStyle w:val="Hyperlink"/>
            <w:rFonts w:ascii="Times New Roman" w:hAnsi="Times New Roman"/>
            <w:b w:val="false"/>
            <w:i w:val="false"/>
            <w:color w:val="000000"/>
            <w:sz w:val="22"/>
          </w:rPr>
          <w:t>199—14.2</w:t>
        </w:r>
      </w:hyperlink>
      <w:r>
        <w:rPr>
          <w:rFonts w:ascii="Times New Roman" w:hAnsi="Times New Roman"/>
          <w:b w:val="false"/>
          <w:i w:val="false"/>
          <w:color w:val="000000"/>
          <w:sz w:val="22"/>
        </w:rPr>
        <w:t>(17A,476). The tax credit applications will be held confidential by the commission and the department of revenue as, among other things, documents containing customer-specific or personal information (</w:t>
      </w:r>
      <w:hyperlink r:id="rId133">
        <w:r>
          <w:rPr>
            <w:rStyle w:val="Hyperlink"/>
            <w:rFonts w:ascii="Times New Roman" w:hAnsi="Times New Roman"/>
            <w:b w:val="false"/>
            <w:i w:val="false"/>
            <w:color w:val="000000"/>
            <w:sz w:val="22"/>
          </w:rPr>
          <w:t>199—paragraph 1.9(5)</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information related to tax returns (Iowa Code section </w:t>
      </w:r>
      <w:hyperlink r:id="rId134">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The information will be held confidential by the commission upon filing, and by the department of revenue upon receipt from the commission, and will be subject to the provisions of </w:t>
      </w:r>
      <w:hyperlink r:id="rId135">
        <w:r>
          <w:rPr>
            <w:rStyle w:val="Hyperlink"/>
            <w:rFonts w:ascii="Times New Roman" w:hAnsi="Times New Roman"/>
            <w:b w:val="false"/>
            <w:i w:val="false"/>
            <w:color w:val="000000"/>
            <w:sz w:val="22"/>
          </w:rPr>
          <w:t>199—subparagraph 1.9(8)</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Accordingly, the applicant should mark each of the pages of the tax credit application “CONFIDENTIAL” in bold or large letters.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the facility owners or the purchaser of renewable energy shall be eligible to apply for the tax credits related to renewable energy that is sold, as designated under paragraph </w:t>
      </w:r>
      <w:hyperlink r:id="rId136">
        <w:r>
          <w:rPr>
            <w:rStyle w:val="Hyperlink"/>
            <w:rFonts w:ascii="Times New Roman" w:hAnsi="Times New Roman"/>
            <w:b w:val="false"/>
            <w:i w:val="false"/>
            <w:color w:val="000000"/>
            <w:sz w:val="22"/>
          </w:rPr>
          <w:t>15.19(1)</w:t>
        </w:r>
        <w:r>
          <w:rPr>
            <w:rFonts w:ascii="Times New Roman" w:hAnsi="Times New Roman"/>
            <w:b w:val="false"/>
            <w:i/>
            <w:color w:val="000000"/>
            <w:sz w:val="22"/>
          </w:rPr>
          <w:t>“h.”</w:t>
        </w:r>
      </w:hyperlink>
      <w:r>
        <w:rPr>
          <w:rFonts w:ascii="Times New Roman" w:hAnsi="Times New Roman"/>
          <w:b w:val="false"/>
          <w:i w:val="false"/>
          <w:color w:val="000000"/>
          <w:sz w:val="22"/>
        </w:rPr>
        <w:t xml:space="preserve"> Only facility owners shall be eligible to apply for tax credits related to renewable energy used for on-site consumption. If a facility is jointly owned, then owners applying for the tax credits must file their application jointly. For each application, an original and two copies must be filed according to the following format, including a cover letter that cites this rule (</w:t>
      </w:r>
      <w:hyperlink r:id="rId137">
        <w:r>
          <w:rPr>
            <w:rStyle w:val="Hyperlink"/>
            <w:rFonts w:ascii="Times New Roman" w:hAnsi="Times New Roman"/>
            <w:b w:val="false"/>
            <w:i w:val="false"/>
            <w:color w:val="000000"/>
            <w:sz w:val="22"/>
          </w:rPr>
          <w:t>199—15.21</w:t>
        </w:r>
      </w:hyperlink>
      <w:r>
        <w:rPr>
          <w:rFonts w:ascii="Times New Roman" w:hAnsi="Times New Roman"/>
          <w:b w:val="false"/>
          <w:i w:val="false"/>
          <w:color w:val="000000"/>
          <w:sz w:val="22"/>
        </w:rPr>
        <w:t>(476C)), and the following 12 information items separately identified by item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original application for facility eligibility under </w:t>
      </w:r>
      <w:hyperlink r:id="rId138">
        <w:r>
          <w:rPr>
            <w:rStyle w:val="Hyperlink"/>
            <w:rFonts w:ascii="Times New Roman" w:hAnsi="Times New Roman"/>
            <w:b w:val="false"/>
            <w:i w:val="false"/>
            <w:color w:val="000000"/>
            <w:sz w:val="22"/>
          </w:rPr>
          <w:t>199—15.19</w:t>
        </w:r>
      </w:hyperlink>
      <w:r>
        <w:rPr>
          <w:rFonts w:ascii="Times New Roman" w:hAnsi="Times New Roman"/>
          <w:b w:val="false"/>
          <w:i w:val="false"/>
          <w:color w:val="000000"/>
          <w:sz w:val="22"/>
        </w:rPr>
        <w:t>(476C), plus any subsequent amendments to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commission’s determination approving the facility as eligible for tax credits under </w:t>
      </w:r>
      <w:hyperlink r:id="rId139">
        <w:r>
          <w:rPr>
            <w:rStyle w:val="Hyperlink"/>
            <w:rFonts w:ascii="Times New Roman" w:hAnsi="Times New Roman"/>
            <w:b w:val="false"/>
            <w:i w:val="false"/>
            <w:color w:val="000000"/>
            <w:sz w:val="22"/>
          </w:rPr>
          <w:t>199—15.19</w:t>
        </w:r>
      </w:hyperlink>
      <w:r>
        <w:rPr>
          <w:rFonts w:ascii="Times New Roman" w:hAnsi="Times New Roman"/>
          <w:b w:val="false"/>
          <w:i w:val="false"/>
          <w:color w:val="000000"/>
          <w:sz w:val="22"/>
        </w:rPr>
        <w:t>(476C).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attesting that the owners have not received wind energy tax credits for the facility under </w:t>
      </w:r>
      <w:hyperlink r:id="rId140">
        <w:r>
          <w:rPr>
            <w:rStyle w:val="Hyperlink"/>
            <w:rFonts w:ascii="Times New Roman" w:hAnsi="Times New Roman"/>
            <w:b w:val="false"/>
            <w:i w:val="false"/>
            <w:color w:val="000000"/>
            <w:sz w:val="22"/>
          </w:rPr>
          <w:t>199—15.20</w:t>
        </w:r>
      </w:hyperlink>
      <w:r>
        <w:rPr>
          <w:rFonts w:ascii="Times New Roman" w:hAnsi="Times New Roman"/>
          <w:b w:val="false"/>
          <w:i w:val="false"/>
          <w:color w:val="000000"/>
          <w:sz w:val="22"/>
        </w:rPr>
        <w:t>(476B).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any renewable energy sold, a copy of the power purchase agreement or other agreement to purchase from the facility electricity, hydrogen fuel, methane or other biogas, or heat for a commercial purpose. The agreement shall designate whether the producer or purchaser of renewable energy will be eligible to apply for the tax credits and shall be consistent with the designation originally filed under paragraph </w:t>
      </w:r>
      <w:hyperlink r:id="rId141">
        <w:r>
          <w:rPr>
            <w:rStyle w:val="Hyperlink"/>
            <w:rFonts w:ascii="Times New Roman" w:hAnsi="Times New Roman"/>
            <w:b w:val="false"/>
            <w:i w:val="false"/>
            <w:color w:val="000000"/>
            <w:sz w:val="22"/>
          </w:rPr>
          <w:t>15.19(1)</w:t>
        </w:r>
        <w:r>
          <w:rPr>
            <w:rFonts w:ascii="Times New Roman" w:hAnsi="Times New Roman"/>
            <w:b w:val="false"/>
            <w:i/>
            <w:color w:val="000000"/>
            <w:sz w:val="22"/>
          </w:rPr>
          <w:t>“h.”</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any renewable energy sold, the owners must provide a statement attesting that the electricity, hydrogen fuel, methane or other biogas, or heat for a commercial purpose, for which tax credits are sought, has been generated by the eligible facility and sold to an unrelated purchaser. For purposes of the renewable energy tax credits, persons are related to each other if either person owns an 80 percent or more equity interest in the other person. For any renewable energy used for on-site consumption, the owners must provide a signed statement attesting under penalty of perjury that the claimed amount of electricity, hydrogen fuel, methane or other biogas, or heat for a commercial purpose for which tax credits are sought has been generated by the eligible facility and not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that the eligible facility was placed in service (that is, between July 1, 2005, and January 1, 2017).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total number of kilowatt-hours of electricity, standard cubic feet of hydrogen fuel, British thermal units of methane gas or other biogas used to generate electricity, or British thermal units of heat for a commercial purpose generated by the eligible facility during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For any renewable energy sold, invoices or other information that documents the number of kilowatt-hours of electricity, standard cubic feet of hydrogen fuel, British thermal units of methane gas or other biogas used to generate electricity, or British thermal units of heat for a commercial purpose generated by the eligible facility and sold to an unrelated purchaser during the tax year. For any renewable energy used for on-site consumption, the number of kilowatt-hours of electricity, standard cubic feet of hydrogen fuel, British thermal units of methane gas or other biogas used to generate electricity, or British thermal units of heat for a commercial purpose generated by the eligible facility during the tax year and not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the facility owners or designated eligible purchaser, including the name, address, and tax identification number of each owner or purchaser. If the application is filed by the facility owners, this shall also include the percentage of equity interest held by each owner during the period for which renewable energy tax credits will be sought under Iowa Code chapter </w:t>
      </w:r>
      <w:hyperlink r:id="rId142">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xml:space="preserve">. This information shall be consistent with ownership information provided in the original application for facility eligibility, as amended, under </w:t>
      </w:r>
      <w:hyperlink r:id="rId143">
        <w:r>
          <w:rPr>
            <w:rStyle w:val="Hyperlink"/>
            <w:rFonts w:ascii="Times New Roman" w:hAnsi="Times New Roman"/>
            <w:b w:val="false"/>
            <w:i w:val="false"/>
            <w:color w:val="000000"/>
            <w:sz w:val="22"/>
          </w:rPr>
          <w:t>199—15.19</w:t>
        </w:r>
      </w:hyperlink>
      <w:r>
        <w:rPr>
          <w:rFonts w:ascii="Times New Roman" w:hAnsi="Times New Roman"/>
          <w:b w:val="false"/>
          <w:i w:val="false"/>
          <w:color w:val="000000"/>
          <w:sz w:val="22"/>
        </w:rPr>
        <w:t>(476C).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type of tax for which the credits will be applied and the first tax year in which the credits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Identification of any applicants that are eligible to receive renewable electricity production credits authorized under Section 45 of the Internal Revenue Code. This identification should include a statement from the applicant attesting to the applicant’s eligibility and any available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of the applicants is a partnership, limited liability company, S corporation, estate, trust, or any other reporting entity all of whose income is taxed directly to its equity holders or beneficiaries for taxes imposed under Iowa Code chapter </w:t>
      </w:r>
      <w:hyperlink r:id="rId144">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division II or III, the application shall include a list of the partners, members, shareholders, or beneficiaries of the entity. This list shall include the name, address, tax identification number, and pro-rata share of earnings from the entity for each of the partners, members, shareholders, or beneficiaries of the entity. The renewable energy tax credits will flow through to the entity’s partners, shareholders, or members in accordance with their pro-rata share of earnings from the entity.</w:t>
      </w:r>
    </w:p>
    <w:p>
      <w:pPr>
        <w:spacing w:before="0" w:after="0"/>
        <w:ind w:left="120"/>
        <w:jc w:val="both"/>
      </w:pPr>
      <w:r>
        <w:rPr>
          <w:rFonts w:ascii="Times New Roman" w:hAnsi="Times New Roman"/>
          <w:b w:val="false"/>
          <w:i w:val="false"/>
          <w:color w:val="000000"/>
          <w:sz w:val="22"/>
        </w:rPr>
        <w:t xml:space="preserve">If the entity is also eligible to receive renewable electricity production credits authorized under Section 45 of the Internal Revenue Code, the entity may designate specific partners if the business is a partnership, shareholders if the business is an S corporation, or members if the business is a limited liability company to receive the renewable energy tax credits issued under Iowa Code chapter </w:t>
      </w:r>
      <w:hyperlink r:id="rId145">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xml:space="preserve"> and the percentage allocable to each. Such an entity may also designate a percentage of the tax credits allocable to an equity holder or beneficiary as a liquidating distribution or portion thereof of a holder or beneficiary’s interest in the applicant entity. Otherwise, in the absence of such designations, the renewable energy tax credits will flow through to the entity’s partners, shareholders, or members in accordance with their pro-rata share of earnings from the entity.</w:t>
      </w:r>
    </w:p>
    <w:p>
      <w:pPr>
        <w:spacing w:before="0" w:after="0"/>
        <w:ind w:left="120"/>
        <w:jc w:val="both"/>
      </w:pPr>
      <w:r>
        <w:rPr>
          <w:rFonts w:ascii="Times New Roman" w:hAnsi="Times New Roman"/>
          <w:b w:val="false"/>
          <w:i w:val="false"/>
          <w:color w:val="000000"/>
          <w:sz w:val="22"/>
        </w:rPr>
        <w:t xml:space="preserve">Alternatively, the tax credits will be issued directly to the entity if the entity is a partnership, limited liability company, S corporation, estate, trust, or any other reporting entity, all of whose income is taxed directly to its equity holders or beneficiaries for taxes imposed under Iowa Code chapter </w:t>
      </w:r>
      <w:hyperlink r:id="rId146">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division V, or under Iowa Code chapter </w:t>
      </w:r>
      <w:hyperlink r:id="rId147">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w:t>
      </w:r>
      <w:hyperlink r:id="rId148">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xml:space="preserve">, or </w:t>
      </w:r>
      <w:hyperlink r:id="rId149">
        <w:r>
          <w:rPr>
            <w:rStyle w:val="Hyperlink"/>
            <w:rFonts w:ascii="Times New Roman" w:hAnsi="Times New Roman"/>
            <w:b w:val="false"/>
            <w:i w:val="false"/>
            <w:color w:val="000000"/>
            <w:sz w:val="22"/>
          </w:rPr>
          <w:t>437A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will forward the tax credit applications to the department of revenue for review and processing. Along with each forwarded application, the commission will provide staff analysis and opinion regarding: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completeness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facility’s eligibility status under </w:t>
      </w:r>
      <w:hyperlink r:id="rId150">
        <w:r>
          <w:rPr>
            <w:rStyle w:val="Hyperlink"/>
            <w:rFonts w:ascii="Times New Roman" w:hAnsi="Times New Roman"/>
            <w:b w:val="false"/>
            <w:i w:val="false"/>
            <w:color w:val="000000"/>
            <w:sz w:val="22"/>
          </w:rPr>
          <w:t>199—15.19</w:t>
        </w:r>
      </w:hyperlink>
      <w:r>
        <w:rPr>
          <w:rFonts w:ascii="Times New Roman" w:hAnsi="Times New Roman"/>
          <w:b w:val="false"/>
          <w:i w:val="false"/>
          <w:color w:val="000000"/>
          <w:sz w:val="22"/>
        </w:rPr>
        <w:t>(476C).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reported kilowatt-hours of electricity, standard cubic feet of hydrogen fuel, British thermal units of methane gas or other biogas used to generate electricity, or British thermal units of heat for a commercial purpose generated by the facility and sold or used by the owners for on-site consumption during the tax year seem accurate and eligible for renewable energy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15.21(2)</w:t>
      </w:r>
      <w:r>
        <w:rPr>
          <w:rFonts w:ascii="Times New Roman" w:hAnsi="Times New Roman"/>
          <w:b w:val="false"/>
          <w:i w:val="false"/>
          <w:color w:val="000000"/>
          <w:sz w:val="22"/>
        </w:rPr>
        <w:t> </w:t>
      </w:r>
      <w:r>
        <w:rPr>
          <w:rFonts w:ascii="Times New Roman" w:hAnsi="Times New Roman"/>
          <w:b w:val="false"/>
          <w:i/>
          <w:color w:val="000000"/>
          <w:sz w:val="22"/>
        </w:rPr>
        <w:t xml:space="preserve">Review process and computation of renewable energy tax credits. </w:t>
      </w:r>
      <w:r>
        <w:rPr>
          <w:rFonts w:ascii="Times New Roman" w:hAnsi="Times New Roman"/>
          <w:b w:val="false"/>
          <w:i w:val="false"/>
          <w:color w:val="000000"/>
          <w:sz w:val="22"/>
        </w:rPr>
        <w:t xml:space="preserve">The department of revenue will review the applications and opinions forwarded by the commission, calculate the tax credits, and issue renewable energy tax credit certificates to the facility owners or designated purchaser, in accordance with department of revenue requirements and procedures under </w:t>
      </w:r>
      <w:hyperlink r:id="rId151">
        <w:r>
          <w:rPr>
            <w:rStyle w:val="Hyperlink"/>
            <w:rFonts w:ascii="Times New Roman" w:hAnsi="Times New Roman"/>
            <w:b w:val="false"/>
            <w:i w:val="false"/>
            <w:color w:val="000000"/>
            <w:sz w:val="22"/>
          </w:rPr>
          <w:t>701—42.26</w:t>
        </w:r>
      </w:hyperlink>
      <w:r>
        <w:rPr>
          <w:rFonts w:ascii="Times New Roman" w:hAnsi="Times New Roman"/>
          <w:b w:val="false"/>
          <w:i w:val="false"/>
          <w:color w:val="000000"/>
          <w:sz w:val="22"/>
        </w:rPr>
        <w:t xml:space="preserve">(422,476C), </w:t>
      </w:r>
      <w:hyperlink r:id="rId152">
        <w:r>
          <w:rPr>
            <w:rStyle w:val="Hyperlink"/>
            <w:rFonts w:ascii="Times New Roman" w:hAnsi="Times New Roman"/>
            <w:b w:val="false"/>
            <w:i w:val="false"/>
            <w:color w:val="000000"/>
            <w:sz w:val="22"/>
          </w:rPr>
          <w:t>701—52.27</w:t>
        </w:r>
      </w:hyperlink>
      <w:r>
        <w:rPr>
          <w:rFonts w:ascii="Times New Roman" w:hAnsi="Times New Roman"/>
          <w:b w:val="false"/>
          <w:i w:val="false"/>
          <w:color w:val="000000"/>
          <w:sz w:val="22"/>
        </w:rPr>
        <w:t xml:space="preserve">(422,476C), and </w:t>
      </w:r>
      <w:hyperlink r:id="rId153">
        <w:r>
          <w:rPr>
            <w:rStyle w:val="Hyperlink"/>
            <w:rFonts w:ascii="Times New Roman" w:hAnsi="Times New Roman"/>
            <w:b w:val="false"/>
            <w:i w:val="false"/>
            <w:color w:val="000000"/>
            <w:sz w:val="22"/>
          </w:rPr>
          <w:t>701—58.16</w:t>
        </w:r>
      </w:hyperlink>
      <w:r>
        <w:rPr>
          <w:rFonts w:ascii="Times New Roman" w:hAnsi="Times New Roman"/>
          <w:b w:val="false"/>
          <w:i w:val="false"/>
          <w:color w:val="000000"/>
          <w:sz w:val="22"/>
        </w:rPr>
        <w:t>(422,476C).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8060B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 xml:space="preserve">; </w:t>
      </w:r>
      <w:r>
        <w:rPr>
          <w:rFonts w:ascii="Times New Roman" w:hAnsi="Times New Roman"/>
          <w:b/>
          <w:i w:val="false"/>
          <w:color w:val="000000"/>
          <w:sz w:val="16"/>
        </w:rPr>
        <w:t>ARC 9752B</w:t>
      </w:r>
      <w:r>
        <w:rPr>
          <w:rFonts w:ascii="Times New Roman" w:hAnsi="Times New Roman"/>
          <w:b w:val="false"/>
          <w:i w:val="false"/>
          <w:color w:val="000000"/>
          <w:sz w:val="16"/>
        </w:rPr>
        <w:t>, IAB 9/21/11, effective 10/26/11</w:t>
      </w:r>
      <w:r>
        <w:rPr>
          <w:rFonts w:ascii="Times New Roman" w:hAnsi="Times New Roman"/>
          <w:b w:val="false"/>
          <w:i w:val="false"/>
          <w:color w:val="000000"/>
          <w:sz w:val="16"/>
        </w:rPr>
        <w:t xml:space="preserve">; </w:t>
      </w:r>
      <w:r>
        <w:rPr>
          <w:rFonts w:ascii="Times New Roman" w:hAnsi="Times New Roman"/>
          <w:b/>
          <w:i w:val="false"/>
          <w:color w:val="000000"/>
          <w:sz w:val="16"/>
        </w:rPr>
        <w:t>ARC 1716C</w:t>
      </w:r>
      <w:r>
        <w:rPr>
          <w:rFonts w:ascii="Times New Roman" w:hAnsi="Times New Roman"/>
          <w:b w:val="false"/>
          <w:i w:val="false"/>
          <w:color w:val="000000"/>
          <w:sz w:val="16"/>
        </w:rPr>
        <w:t>, IAB 11/12/14, effective 12/17/14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199—15.22</w:t>
      </w:r>
      <w:r>
        <w:rPr>
          <w:rFonts w:ascii="Times New Roman" w:hAnsi="Times New Roman"/>
          <w:b/>
          <w:i w:val="false"/>
          <w:color w:val="000000"/>
          <w:sz w:val="22"/>
        </w:rPr>
        <w:t xml:space="preserve">(476) </w:t>
      </w:r>
      <w:r>
        <w:rPr>
          <w:rFonts w:ascii="Times New Roman" w:hAnsi="Times New Roman"/>
          <w:b/>
          <w:i w:val="false"/>
          <w:color w:val="000000"/>
          <w:sz w:val="22"/>
        </w:rPr>
        <w:t xml:space="preserve">Small wind innovation zones.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utility” </w:t>
      </w:r>
      <w:r>
        <w:rPr>
          <w:rFonts w:ascii="Times New Roman" w:hAnsi="Times New Roman"/>
          <w:b w:val="false"/>
          <w:i w:val="false"/>
          <w:color w:val="000000"/>
          <w:sz w:val="22"/>
        </w:rPr>
        <w:t>means a public utility that furnishes electricity to the public for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“Model interconnection agreement” </w:t>
      </w:r>
      <w:r>
        <w:rPr>
          <w:rFonts w:ascii="Times New Roman" w:hAnsi="Times New Roman"/>
          <w:b w:val="false"/>
          <w:i w:val="false"/>
          <w:color w:val="000000"/>
          <w:sz w:val="22"/>
        </w:rPr>
        <w:t xml:space="preserve">means the applicable standard interconnection agreement under </w:t>
      </w:r>
      <w:hyperlink r:id="rId154">
        <w:r>
          <w:rPr>
            <w:rStyle w:val="Hyperlink"/>
            <w:rFonts w:ascii="Times New Roman" w:hAnsi="Times New Roman"/>
            <w:b w:val="false"/>
            <w:i w:val="false"/>
            <w:color w:val="000000"/>
            <w:sz w:val="22"/>
          </w:rPr>
          <w:t>199—Chapter 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“Model ordinance” </w:t>
      </w:r>
      <w:r>
        <w:rPr>
          <w:rFonts w:ascii="Times New Roman" w:hAnsi="Times New Roman"/>
          <w:b w:val="false"/>
          <w:i w:val="false"/>
          <w:color w:val="000000"/>
          <w:sz w:val="22"/>
        </w:rPr>
        <w:t xml:space="preserve">means the model ordinance developed pursuant to Iowa Code section </w:t>
      </w:r>
      <w:hyperlink r:id="rId155">
        <w:r>
          <w:rPr>
            <w:rStyle w:val="Hyperlink"/>
            <w:rFonts w:ascii="Times New Roman" w:hAnsi="Times New Roman"/>
            <w:b w:val="false"/>
            <w:i w:val="false"/>
            <w:color w:val="000000"/>
            <w:sz w:val="22"/>
          </w:rPr>
          <w:t>476.48(3)</w:t>
        </w:r>
      </w:hyperlink>
      <w:r>
        <w:rPr>
          <w:rFonts w:ascii="Times New Roman" w:hAnsi="Times New Roman"/>
          <w:b w:val="false"/>
          <w:i w:val="false"/>
          <w:color w:val="000000"/>
          <w:sz w:val="22"/>
        </w:rPr>
        <w:t xml:space="preserve">, which when adopted will be posted on the websites of the Iowa League of Cities at </w:t>
      </w:r>
      <w:hyperlink r:id="rId156">
        <w:r>
          <w:rPr>
            <w:rStyle w:val="Hyperlink"/>
            <w:rFonts w:ascii="Times New Roman" w:hAnsi="Times New Roman"/>
            <w:b w:val="false"/>
            <w:i w:val="false"/>
            <w:color w:val="000000"/>
            <w:sz w:val="22"/>
            <w:u w:val="single"/>
          </w:rPr>
          <w:t>www.iowaleague.org</w:t>
        </w:r>
      </w:hyperlink>
      <w:r>
        <w:rPr>
          <w:rFonts w:ascii="Times New Roman" w:hAnsi="Times New Roman"/>
          <w:b w:val="false"/>
          <w:i w:val="false"/>
          <w:color w:val="000000"/>
          <w:sz w:val="22"/>
        </w:rPr>
        <w:t xml:space="preserve"> and the Iowa State Association of Counties at </w:t>
      </w:r>
      <w:hyperlink r:id="rId157">
        <w:r>
          <w:rPr>
            <w:rStyle w:val="Hyperlink"/>
            <w:rFonts w:ascii="Times New Roman" w:hAnsi="Times New Roman"/>
            <w:b w:val="false"/>
            <w:i w:val="false"/>
            <w:color w:val="000000"/>
            <w:sz w:val="22"/>
            <w:u w:val="single"/>
          </w:rPr>
          <w:t>www.iowacounties.org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“Small wind energy system” </w:t>
      </w:r>
      <w:r>
        <w:rPr>
          <w:rFonts w:ascii="Times New Roman" w:hAnsi="Times New Roman"/>
          <w:b w:val="false"/>
          <w:i w:val="false"/>
          <w:color w:val="000000"/>
          <w:sz w:val="22"/>
        </w:rPr>
        <w:t xml:space="preserve">means a wind energy conversion system that collects and converts wind into energy to generate electricity, which has a nameplate generating capacity of 100 kilowatts or less. A small wind energy system located in a small wind innovation zone but in the exclusive service territory of an electric utility that is not subject to </w:t>
      </w:r>
      <w:hyperlink r:id="rId158">
        <w:r>
          <w:rPr>
            <w:rStyle w:val="Hyperlink"/>
            <w:rFonts w:ascii="Times New Roman" w:hAnsi="Times New Roman"/>
            <w:b w:val="false"/>
            <w:i w:val="false"/>
            <w:color w:val="000000"/>
            <w:sz w:val="22"/>
          </w:rPr>
          <w:t>199—Chapter 45</w:t>
        </w:r>
      </w:hyperlink>
      <w:r>
        <w:rPr>
          <w:rFonts w:ascii="Times New Roman" w:hAnsi="Times New Roman"/>
          <w:b w:val="false"/>
          <w:i w:val="false"/>
          <w:color w:val="000000"/>
          <w:sz w:val="22"/>
        </w:rPr>
        <w:t xml:space="preserve"> and has not adopted the standard forms, procedures, and interconnection agreements in </w:t>
      </w:r>
      <w:hyperlink r:id="rId159">
        <w:r>
          <w:rPr>
            <w:rStyle w:val="Hyperlink"/>
            <w:rFonts w:ascii="Times New Roman" w:hAnsi="Times New Roman"/>
            <w:b w:val="false"/>
            <w:i w:val="false"/>
            <w:color w:val="000000"/>
            <w:sz w:val="22"/>
          </w:rPr>
          <w:t>199—Chapter 45</w:t>
        </w:r>
      </w:hyperlink>
      <w:r>
        <w:rPr>
          <w:rFonts w:ascii="Times New Roman" w:hAnsi="Times New Roman"/>
          <w:b w:val="false"/>
          <w:i w:val="false"/>
          <w:color w:val="000000"/>
          <w:sz w:val="22"/>
        </w:rPr>
        <w:t xml:space="preserve"> is not eligible for the streamlined application process referred to in Iowa Code section </w:t>
      </w:r>
      <w:hyperlink r:id="rId160">
        <w:r>
          <w:rPr>
            <w:rStyle w:val="Hyperlink"/>
            <w:rFonts w:ascii="Times New Roman" w:hAnsi="Times New Roman"/>
            <w:b w:val="false"/>
            <w:i w:val="false"/>
            <w:color w:val="000000"/>
            <w:sz w:val="22"/>
          </w:rPr>
          <w:t>476.48(2)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“Small wind innovation zone” </w:t>
      </w:r>
      <w:r>
        <w:rPr>
          <w:rFonts w:ascii="Times New Roman" w:hAnsi="Times New Roman"/>
          <w:b w:val="false"/>
          <w:i w:val="false"/>
          <w:color w:val="000000"/>
          <w:sz w:val="22"/>
        </w:rPr>
        <w:t>means a political subdivision of this state, including but not limited to a city, county, township, school district, community college, area education agency, institution under the control of the state board of regents, or any other local commission, association, or tribal council which adopts, or is encompassed within a local government which adopts, the model ordinance.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small wind innovation zone designation. </w:t>
      </w:r>
      <w:r>
        <w:rPr>
          <w:rFonts w:ascii="Times New Roman" w:hAnsi="Times New Roman"/>
          <w:b w:val="false"/>
          <w:i w:val="false"/>
          <w:color w:val="000000"/>
          <w:sz w:val="22"/>
        </w:rPr>
        <w:t xml:space="preserve">A political subdivision of this state, including but not limited to a city, county, township, school district, community college, area education agency, institution under the control of the state board of regents, or any other local commission, association, or tribal council, may apply to the commission for designation as a small wind innovation zone under Iowa Code section </w:t>
      </w:r>
      <w:hyperlink r:id="rId161">
        <w:r>
          <w:rPr>
            <w:rStyle w:val="Hyperlink"/>
            <w:rFonts w:ascii="Times New Roman" w:hAnsi="Times New Roman"/>
            <w:b w:val="false"/>
            <w:i w:val="false"/>
            <w:color w:val="000000"/>
            <w:sz w:val="22"/>
          </w:rPr>
          <w:t>476.48</w:t>
        </w:r>
      </w:hyperlink>
      <w:r>
        <w:rPr>
          <w:rFonts w:ascii="Times New Roman" w:hAnsi="Times New Roman"/>
          <w:b w:val="false"/>
          <w:i w:val="false"/>
          <w:color w:val="000000"/>
          <w:sz w:val="22"/>
        </w:rPr>
        <w:t>. The application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location, description, and legal boundary of the political subdivision seeking designation as a small wind innovation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applicant filing on behalf of the political subdivision, including legal name, address, telephone number, and, as applicable, facsimile transmission number and electronic 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political subdivision is other than a local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the local government (or governments) that encompasses the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Confirmation that all identified local governments have either adopted or are about to adopt the model ordinance, including copies of model ordinances adopted by the local governments, or copies of pending amendments to existing zoning ordinances intended to comply with the model ordinance;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Dates the model ordinances were adopted or anticipated dates of adoption of pending amendments to existing zoning ordinances intended to comply with the model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political subdivision is a local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the model ordinance adopted by the local government or copy of a pending amendment to an existing zoning ordinance intended to comply with the model ordinance;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the model ordinance was adopted or anticipated date of adoption of the pending amendment to an existing zoning ordinance intended to comply with the model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the electric utilities that provide service within the political subdivision;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Documentation from each electric utility that provides service within the political subdivision confirming that the electric utility is serving the political subdivision and that the utility is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subject to the provisions of </w:t>
      </w:r>
      <w:hyperlink r:id="rId162">
        <w:r>
          <w:rPr>
            <w:rStyle w:val="Hyperlink"/>
            <w:rFonts w:ascii="Times New Roman" w:hAnsi="Times New Roman"/>
            <w:b w:val="false"/>
            <w:i w:val="false"/>
            <w:color w:val="000000"/>
            <w:sz w:val="22"/>
          </w:rPr>
          <w:t>199—Chapter 45</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not subject to the provisions of </w:t>
      </w:r>
      <w:hyperlink r:id="rId163">
        <w:r>
          <w:rPr>
            <w:rStyle w:val="Hyperlink"/>
            <w:rFonts w:ascii="Times New Roman" w:hAnsi="Times New Roman"/>
            <w:b w:val="false"/>
            <w:i w:val="false"/>
            <w:color w:val="000000"/>
            <w:sz w:val="22"/>
          </w:rPr>
          <w:t>199—Chapter 45</w:t>
        </w:r>
      </w:hyperlink>
      <w:r>
        <w:rPr>
          <w:rFonts w:ascii="Times New Roman" w:hAnsi="Times New Roman"/>
          <w:b w:val="false"/>
          <w:i w:val="false"/>
          <w:color w:val="000000"/>
          <w:sz w:val="22"/>
        </w:rPr>
        <w:t xml:space="preserve">, but which nonetheless agrees to use the standard forms, procedures, and standard interconnection agreements of </w:t>
      </w:r>
      <w:hyperlink r:id="rId164">
        <w:r>
          <w:rPr>
            <w:rStyle w:val="Hyperlink"/>
            <w:rFonts w:ascii="Times New Roman" w:hAnsi="Times New Roman"/>
            <w:b w:val="false"/>
            <w:i w:val="false"/>
            <w:color w:val="000000"/>
            <w:sz w:val="22"/>
          </w:rPr>
          <w:t>199—Chapter 45</w:t>
        </w:r>
      </w:hyperlink>
      <w:r>
        <w:rPr>
          <w:rFonts w:ascii="Times New Roman" w:hAnsi="Times New Roman"/>
          <w:b w:val="false"/>
          <w:i w:val="false"/>
          <w:color w:val="000000"/>
          <w:sz w:val="22"/>
        </w:rPr>
        <w:t xml:space="preserve"> for small wind energy systems in its service territory within the political subdivision;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that is not subject to the provisions of </w:t>
      </w:r>
      <w:hyperlink r:id="rId165">
        <w:r>
          <w:rPr>
            <w:rStyle w:val="Hyperlink"/>
            <w:rFonts w:ascii="Times New Roman" w:hAnsi="Times New Roman"/>
            <w:b w:val="false"/>
            <w:i w:val="false"/>
            <w:color w:val="000000"/>
            <w:sz w:val="22"/>
          </w:rPr>
          <w:t>199—Chapter 45</w:t>
        </w:r>
      </w:hyperlink>
      <w:r>
        <w:rPr>
          <w:rFonts w:ascii="Times New Roman" w:hAnsi="Times New Roman"/>
          <w:b w:val="false"/>
          <w:i w:val="false"/>
          <w:color w:val="000000"/>
          <w:sz w:val="22"/>
        </w:rPr>
        <w:t xml:space="preserve"> and has not adopted them.</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Electric utilities shall provide political subdivisions the documentation required in paragraph </w:t>
      </w:r>
      <w:hyperlink r:id="rId166">
        <w:r>
          <w:rPr>
            <w:rStyle w:val="Hyperlink"/>
            <w:rFonts w:ascii="Times New Roman" w:hAnsi="Times New Roman"/>
            <w:b w:val="false"/>
            <w:i w:val="false"/>
            <w:color w:val="000000"/>
            <w:sz w:val="22"/>
          </w:rPr>
          <w:t>15.22(2)</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15.22(3)</w:t>
      </w:r>
      <w:r>
        <w:rPr>
          <w:rFonts w:ascii="Times New Roman" w:hAnsi="Times New Roman"/>
          <w:b w:val="false"/>
          <w:i w:val="false"/>
          <w:color w:val="000000"/>
          <w:sz w:val="22"/>
        </w:rPr>
        <w:t> </w:t>
      </w:r>
      <w:r>
        <w:rPr>
          <w:rFonts w:ascii="Times New Roman" w:hAnsi="Times New Roman"/>
          <w:b w:val="false"/>
          <w:i/>
          <w:color w:val="000000"/>
          <w:sz w:val="22"/>
        </w:rPr>
        <w:t xml:space="preserve">Motion for modification of a model interconnection agreement in a small wind innovation zone. </w:t>
      </w:r>
      <w:r>
        <w:rPr>
          <w:rFonts w:ascii="Times New Roman" w:hAnsi="Times New Roman"/>
          <w:b w:val="false"/>
          <w:i w:val="false"/>
          <w:color w:val="000000"/>
          <w:sz w:val="22"/>
        </w:rPr>
        <w:t xml:space="preserve">An electric utility that uses the standard interconnection agreements in </w:t>
      </w:r>
      <w:hyperlink r:id="rId167">
        <w:r>
          <w:rPr>
            <w:rStyle w:val="Hyperlink"/>
            <w:rFonts w:ascii="Times New Roman" w:hAnsi="Times New Roman"/>
            <w:b w:val="false"/>
            <w:i w:val="false"/>
            <w:color w:val="000000"/>
            <w:sz w:val="22"/>
          </w:rPr>
          <w:t>199—Chapter 45</w:t>
        </w:r>
      </w:hyperlink>
      <w:r>
        <w:rPr>
          <w:rFonts w:ascii="Times New Roman" w:hAnsi="Times New Roman"/>
          <w:b w:val="false"/>
          <w:i w:val="false"/>
          <w:color w:val="000000"/>
          <w:sz w:val="22"/>
        </w:rPr>
        <w:t xml:space="preserve"> and the owner of a small wind energy system in a small wind innovation zone may jointly seek to modify their version of the model interconnection agreement by jointly filing a motion for commission approval. The motion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location, and description of the political subdivision designated as a small wind innovation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interconnecting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 of the small wind energy system, including legal name, address, telephone number, and, as applicable, facsimile transmission number and electronic 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Description of the small wind energy system, including location and nameplate generating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modified interconnection agreement clearly identifying the proposed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reasons and circumstances that require the modifications;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Signed statements from the electric utility and the owner of the small wind energy system attesting that the proposed modifications to the interconnection agreement are mutually agreeable.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15.22(4)</w:t>
      </w:r>
      <w:r>
        <w:rPr>
          <w:rFonts w:ascii="Times New Roman" w:hAnsi="Times New Roman"/>
          <w:b w:val="false"/>
          <w:i w:val="false"/>
          <w:color w:val="000000"/>
          <w:sz w:val="22"/>
        </w:rPr>
        <w:t> </w:t>
      </w:r>
      <w:r>
        <w:rPr>
          <w:rFonts w:ascii="Times New Roman" w:hAnsi="Times New Roman"/>
          <w:b w:val="false"/>
          <w:i/>
          <w:color w:val="000000"/>
          <w:sz w:val="22"/>
        </w:rPr>
        <w:t xml:space="preserve">Annual reporting requirement. </w:t>
      </w:r>
      <w:r>
        <w:rPr>
          <w:rFonts w:ascii="Times New Roman" w:hAnsi="Times New Roman"/>
          <w:b w:val="false"/>
          <w:i w:val="false"/>
          <w:color w:val="000000"/>
          <w:sz w:val="22"/>
        </w:rPr>
        <w:t xml:space="preserve">A current listing of small wind innovation zones shall be maintained on the commission’s website at </w:t>
      </w:r>
      <w:hyperlink r:id="rId168">
        <w:r>
          <w:rPr>
            <w:rStyle w:val="Hyperlink"/>
            <w:rFonts w:ascii="Times New Roman" w:hAnsi="Times New Roman"/>
            <w:b w:val="false"/>
            <w:i w:val="false"/>
            <w:color w:val="000000"/>
            <w:sz w:val="22"/>
            <w:u w:val="single"/>
          </w:rPr>
          <w:t>www.state.ia.us/iuc</w:t>
        </w:r>
      </w:hyperlink>
      <w:r>
        <w:rPr>
          <w:rFonts w:ascii="Times New Roman" w:hAnsi="Times New Roman"/>
          <w:b w:val="false"/>
          <w:i w:val="false"/>
          <w:color w:val="000000"/>
          <w:sz w:val="22"/>
        </w:rPr>
        <w:t>. Beginning April 1, 2011, each electric utility that has one or more small wind innovation zones in its service territory shall file an annual report for the previous calendar year listing the nameplate kW capacity of each small wind energy system that was interconnected (or previously interconnected) with the utility and produced electricity in each of the small wind innovation zones served by the utility. The information shall be provided in the following format:</w:t>
      </w:r>
    </w:p>
    <w:tbl>
      <w:tblPr>
        <w:tblW w:w="5000" w:type="pct"/>
        <w:tblCellSpacing w:w="0" w:type="auto"/>
        <w:tblBorders>
          <w:top w:val="none"/>
          <w:left w:val="none"/>
          <w:bottom w:val="none"/>
          <w:right w:val="none"/>
          <w:insideH w:val="none"/>
          <w:insideV w:val="none"/>
        </w:tblBorders>
        <w:tblLayout w:type="fixed"/>
      </w:tblPr>
      <w:tblGrid>
        <w:gridCol w:w="3730"/>
        <w:gridCol w:w="3730"/>
        <w:gridCol w:w="3730"/>
      </w:tblGrid>
      <w:tr>
        <w:trPr>
          <w:trHeight w:val="48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Small Wind</w:t>
            </w:r>
            <w:r>
              <w:br/>
            </w:r>
            <w:r>
              <w:rPr>
                <w:rFonts w:ascii="Times New Roman" w:hAnsi="Times New Roman"/>
                <w:b w:val="false"/>
                <w:i w:val="false"/>
                <w:color w:val="000000"/>
                <w:sz w:val="20"/>
              </w:rPr>
              <w:t>Innovation Zone</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Customer</w:t>
            </w:r>
            <w:r>
              <w:br/>
            </w:r>
            <w:r>
              <w:rPr>
                <w:rFonts w:ascii="Times New Roman" w:hAnsi="Times New Roman"/>
                <w:b w:val="false"/>
                <w:i w:val="false"/>
                <w:color w:val="000000"/>
                <w:sz w:val="20"/>
              </w:rPr>
              <w:t>Name</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Nameplate</w:t>
            </w:r>
            <w:r>
              <w:br/>
            </w:r>
            <w:r>
              <w:rPr>
                <w:rFonts w:ascii="Times New Roman" w:hAnsi="Times New Roman"/>
                <w:b w:val="false"/>
                <w:i w:val="false"/>
                <w:color w:val="000000"/>
                <w:sz w:val="20"/>
              </w:rPr>
              <w:t>kW Capacity</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8949B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69">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170">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 xml:space="preserve">, </w:t>
      </w:r>
      <w:hyperlink r:id="rId171">
        <w:r>
          <w:rPr>
            <w:rStyle w:val="Hyperlink"/>
            <w:rFonts w:ascii="Times New Roman" w:hAnsi="Times New Roman"/>
            <w:b w:val="false"/>
            <w:i w:val="false"/>
            <w:color w:val="000000"/>
            <w:sz w:val="22"/>
          </w:rPr>
          <w:t>476.41 to 476.45</w:t>
        </w:r>
      </w:hyperlink>
      <w:r>
        <w:rPr>
          <w:rFonts w:ascii="Times New Roman" w:hAnsi="Times New Roman"/>
          <w:b w:val="false"/>
          <w:i w:val="false"/>
          <w:color w:val="000000"/>
          <w:sz w:val="22"/>
        </w:rPr>
        <w:t xml:space="preserve">, and </w:t>
      </w:r>
      <w:hyperlink r:id="rId172">
        <w:r>
          <w:rPr>
            <w:rStyle w:val="Hyperlink"/>
            <w:rFonts w:ascii="Times New Roman" w:hAnsi="Times New Roman"/>
            <w:b w:val="false"/>
            <w:i w:val="false"/>
            <w:color w:val="000000"/>
            <w:sz w:val="22"/>
          </w:rPr>
          <w:t>546.7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Section 210 of the Public Utility Regulatory Policies Act of 1978</w:t>
      </w:r>
      <w:r>
        <w:rPr>
          <w:rFonts w:ascii="Times New Roman" w:hAnsi="Times New Roman"/>
          <w:b w:val="false"/>
          <w:i w:val="false"/>
          <w:color w:val="000000"/>
          <w:sz w:val="22"/>
        </w:rPr>
        <w:t xml:space="preserve">, and </w:t>
      </w:r>
      <w:r>
        <w:rPr>
          <w:rFonts w:ascii="Times New Roman" w:hAnsi="Times New Roman"/>
          <w:b w:val="false"/>
          <w:i w:val="false"/>
          <w:color w:val="000000"/>
          <w:sz w:val="22"/>
        </w:rPr>
        <w:t>18 CFR Part 292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3/26/81, Notice 10/29/80—published 4/15/81, effective 5/20/81]</w:t>
      </w:r>
    </w:p>
    <w:p>
      <w:pPr>
        <w:spacing w:before="0" w:after="0"/>
        <w:ind w:left="120"/>
        <w:jc w:val="center"/>
      </w:pPr>
      <w:r>
        <w:rPr>
          <w:rFonts w:ascii="Times New Roman" w:hAnsi="Times New Roman"/>
          <w:b w:val="false"/>
          <w:i w:val="false"/>
          <w:color w:val="000000"/>
          <w:sz w:val="21"/>
        </w:rPr>
        <w:t>[Filed emergency 6/28/82—published 7/21/82, effective 6/28/82]</w:t>
      </w:r>
    </w:p>
    <w:p>
      <w:pPr>
        <w:spacing w:before="0" w:after="0"/>
        <w:ind w:left="120"/>
        <w:jc w:val="center"/>
      </w:pPr>
      <w:r>
        <w:rPr>
          <w:rFonts w:ascii="Times New Roman" w:hAnsi="Times New Roman"/>
          <w:b w:val="false"/>
          <w:i w:val="false"/>
          <w:color w:val="000000"/>
          <w:sz w:val="21"/>
        </w:rPr>
        <w:t>[Filed 7/27/84, Notice 4/25/84—published 8/15/84, effective 9/19/84]</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emergency 9/4/87—published 9/23/87, effective 9/4/87]</w:t>
      </w:r>
    </w:p>
    <w:p>
      <w:pPr>
        <w:spacing w:before="0" w:after="0"/>
        <w:ind w:left="120"/>
        <w:jc w:val="center"/>
      </w:pPr>
      <w:r>
        <w:rPr>
          <w:rFonts w:ascii="Times New Roman" w:hAnsi="Times New Roman"/>
          <w:b w:val="false"/>
          <w:i w:val="false"/>
          <w:color w:val="000000"/>
          <w:sz w:val="21"/>
        </w:rPr>
        <w:t>[Filed 4/25/91, Notice 12/26/90—published 5/15/91, effective 6/19/91]</w:t>
      </w:r>
    </w:p>
    <w:p>
      <w:pPr>
        <w:spacing w:before="0" w:after="0"/>
        <w:ind w:left="120"/>
        <w:jc w:val="center"/>
      </w:pPr>
      <w:r>
        <w:rPr>
          <w:rFonts w:ascii="Times New Roman" w:hAnsi="Times New Roman"/>
          <w:b w:val="false"/>
          <w:i w:val="false"/>
          <w:color w:val="000000"/>
          <w:sz w:val="21"/>
        </w:rPr>
        <w:t>[Filed 6/4/93, Notice 1/20/93—published 6/23/93, effective 7/28/93]</w:t>
      </w:r>
    </w:p>
    <w:p>
      <w:pPr>
        <w:spacing w:before="0" w:after="0"/>
        <w:ind w:left="120"/>
        <w:jc w:val="center"/>
      </w:pPr>
      <w:r>
        <w:rPr>
          <w:rFonts w:ascii="Times New Roman" w:hAnsi="Times New Roman"/>
          <w:b w:val="false"/>
          <w:i w:val="false"/>
          <w:color w:val="000000"/>
          <w:sz w:val="21"/>
        </w:rPr>
        <w:t>[Filed 10/20/94, Notice 6/22/94—published 11/9/94, effective 12/14/94]</w:t>
      </w:r>
    </w:p>
    <w:p>
      <w:pPr>
        <w:spacing w:before="0" w:after="0"/>
        <w:ind w:left="120"/>
        <w:jc w:val="center"/>
      </w:pPr>
      <w:r>
        <w:rPr>
          <w:rFonts w:ascii="Times New Roman" w:hAnsi="Times New Roman"/>
          <w:b w:val="false"/>
          <w:i w:val="false"/>
          <w:color w:val="000000"/>
          <w:sz w:val="21"/>
        </w:rPr>
        <w:t>[Filed 10/12/00, Notice 8/23/00—published 11/1/00, effective 12/6/00]</w:t>
      </w:r>
    </w:p>
    <w:p>
      <w:pPr>
        <w:spacing w:before="0" w:after="0"/>
        <w:ind w:left="120"/>
        <w:jc w:val="center"/>
      </w:pPr>
      <w:r>
        <w:rPr>
          <w:rFonts w:ascii="Times New Roman" w:hAnsi="Times New Roman"/>
          <w:b w:val="false"/>
          <w:i w:val="false"/>
          <w:color w:val="000000"/>
          <w:sz w:val="21"/>
        </w:rPr>
        <w:t>[Filed 3/29/02, Notice 2/6/02—published 4/17/02, effective 5/22/02]</w:t>
      </w:r>
    </w:p>
    <w:p>
      <w:pPr>
        <w:spacing w:before="0" w:after="0"/>
        <w:ind w:left="120"/>
        <w:jc w:val="center"/>
      </w:pPr>
      <w:r>
        <w:rPr>
          <w:rFonts w:ascii="Times New Roman" w:hAnsi="Times New Roman"/>
          <w:b w:val="false"/>
          <w:i w:val="false"/>
          <w:color w:val="000000"/>
          <w:sz w:val="21"/>
        </w:rPr>
        <w:t>[Filed 7/3/03, Notice 3/5/03—published 7/23/03, effective 8/27/03]</w:t>
      </w:r>
    </w:p>
    <w:p>
      <w:pPr>
        <w:spacing w:before="0" w:after="0"/>
        <w:ind w:left="120"/>
        <w:jc w:val="center"/>
      </w:pPr>
      <w:r>
        <w:rPr>
          <w:rFonts w:ascii="Times New Roman" w:hAnsi="Times New Roman"/>
          <w:b w:val="false"/>
          <w:i w:val="false"/>
          <w:color w:val="000000"/>
          <w:sz w:val="21"/>
        </w:rPr>
        <w:t>[Filed 8/29/03, Notice 5/14/03—published 9/17/03, effective 10/22/02]</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[Filed emergency 6/20/05—published 7/20/05, effective 6/20/05]</w:t>
      </w:r>
    </w:p>
    <w:p>
      <w:pPr>
        <w:spacing w:before="0" w:after="0"/>
        <w:ind w:left="120"/>
        <w:jc w:val="center"/>
      </w:pPr>
      <w:r>
        <w:rPr>
          <w:rFonts w:ascii="Times New Roman" w:hAnsi="Times New Roman"/>
          <w:b w:val="false"/>
          <w:i w:val="false"/>
          <w:color w:val="000000"/>
          <w:sz w:val="21"/>
        </w:rPr>
        <w:t>[Filed 1/26/06, Notice 7/20/05—published 2/15/06, effective 3/22/06]</w:t>
      </w:r>
    </w:p>
    <w:p>
      <w:pPr>
        <w:spacing w:before="0" w:after="0"/>
        <w:ind w:left="120"/>
        <w:jc w:val="center"/>
      </w:pPr>
      <w:r>
        <w:rPr>
          <w:rFonts w:ascii="Times New Roman" w:hAnsi="Times New Roman"/>
          <w:b w:val="false"/>
          <w:i w:val="false"/>
          <w:color w:val="000000"/>
          <w:sz w:val="21"/>
        </w:rPr>
        <w:t>[Filed 11/28/06, Notice 9/27/06—published 12/20/06, effective 1/24/07]</w:t>
      </w:r>
    </w:p>
    <w:p>
      <w:pPr>
        <w:spacing w:before="0" w:after="0"/>
        <w:ind w:left="120"/>
        <w:jc w:val="center"/>
      </w:pPr>
      <w:r>
        <w:rPr>
          <w:rFonts w:ascii="Times New Roman" w:hAnsi="Times New Roman"/>
          <w:b w:val="false"/>
          <w:i w:val="false"/>
          <w:color w:val="000000"/>
          <w:sz w:val="21"/>
        </w:rPr>
        <w:t>[Filed 5/2/07, Notice 3/28/07—published 5/23/07, effective 6/27/07]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8/27/08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8060B</w:t>
      </w:r>
      <w:r>
        <w:rPr>
          <w:rFonts w:ascii="Times New Roman" w:hAnsi="Times New Roman"/>
          <w:b w:val="false"/>
          <w:i w:val="false"/>
          <w:color w:val="000000"/>
          <w:sz w:val="21"/>
        </w:rPr>
        <w:t xml:space="preserve"> (Notice ARC 7849B, IAB 6/17/09)</w:t>
      </w:r>
      <w:r>
        <w:rPr>
          <w:rFonts w:ascii="Times New Roman" w:hAnsi="Times New Roman"/>
          <w:b w:val="false"/>
          <w:i w:val="false"/>
          <w:color w:val="000000"/>
          <w:sz w:val="21"/>
        </w:rPr>
        <w:t>, IAB 8/26/09, effective 9/30/09]</w:t>
      </w:r>
    </w:p>
    <w:p>
      <w:pPr>
        <w:spacing w:before="0" w:after="0"/>
        <w:ind w:left="120"/>
        <w:jc w:val="center"/>
      </w:pPr>
      <w:r>
        <w:rPr>
          <w:rFonts w:ascii="Times New Roman" w:hAnsi="Times New Roman"/>
          <w:b w:val="false"/>
          <w:i w:val="false"/>
          <w:color w:val="000000"/>
          <w:sz w:val="21"/>
        </w:rPr>
        <w:t>[Filed ARC 8859B</w:t>
      </w:r>
      <w:r>
        <w:rPr>
          <w:rFonts w:ascii="Times New Roman" w:hAnsi="Times New Roman"/>
          <w:b w:val="false"/>
          <w:i w:val="false"/>
          <w:color w:val="000000"/>
          <w:sz w:val="21"/>
        </w:rPr>
        <w:t xml:space="preserve"> (Notice ARC 8201B, IAB 10/7/09)</w:t>
      </w:r>
      <w:r>
        <w:rPr>
          <w:rFonts w:ascii="Times New Roman" w:hAnsi="Times New Roman"/>
          <w:b w:val="false"/>
          <w:i w:val="false"/>
          <w:color w:val="000000"/>
          <w:sz w:val="21"/>
        </w:rPr>
        <w:t>, IAB 6/16/10, effective 7/21/10]</w:t>
      </w:r>
    </w:p>
    <w:p>
      <w:pPr>
        <w:spacing w:before="0" w:after="0"/>
        <w:ind w:left="120"/>
        <w:jc w:val="center"/>
      </w:pPr>
      <w:r>
        <w:rPr>
          <w:rFonts w:ascii="Times New Roman" w:hAnsi="Times New Roman"/>
          <w:b w:val="false"/>
          <w:i w:val="false"/>
          <w:color w:val="000000"/>
          <w:sz w:val="21"/>
        </w:rPr>
        <w:t>[Filed ARC 8949B</w:t>
      </w:r>
      <w:r>
        <w:rPr>
          <w:rFonts w:ascii="Times New Roman" w:hAnsi="Times New Roman"/>
          <w:b w:val="false"/>
          <w:i w:val="false"/>
          <w:color w:val="000000"/>
          <w:sz w:val="21"/>
        </w:rPr>
        <w:t xml:space="preserve"> (Notice ARC 8335B, IAB 12/2/09)</w:t>
      </w:r>
      <w:r>
        <w:rPr>
          <w:rFonts w:ascii="Times New Roman" w:hAnsi="Times New Roman"/>
          <w:b w:val="false"/>
          <w:i w:val="false"/>
          <w:color w:val="000000"/>
          <w:sz w:val="21"/>
        </w:rPr>
        <w:t>, IAB 7/28/10, effective 9/1/10]</w:t>
      </w:r>
    </w:p>
    <w:p>
      <w:pPr>
        <w:spacing w:before="0" w:after="0"/>
        <w:ind w:left="120"/>
        <w:jc w:val="center"/>
      </w:pPr>
      <w:r>
        <w:rPr>
          <w:rFonts w:ascii="Times New Roman" w:hAnsi="Times New Roman"/>
          <w:b w:val="false"/>
          <w:i w:val="false"/>
          <w:color w:val="000000"/>
          <w:sz w:val="21"/>
        </w:rPr>
        <w:t>[Filed ARC 9752B</w:t>
      </w:r>
      <w:r>
        <w:rPr>
          <w:rFonts w:ascii="Times New Roman" w:hAnsi="Times New Roman"/>
          <w:b w:val="false"/>
          <w:i w:val="false"/>
          <w:color w:val="000000"/>
          <w:sz w:val="21"/>
        </w:rPr>
        <w:t xml:space="preserve"> (Notice ARC 9609B, IAB 7/13/11)</w:t>
      </w:r>
      <w:r>
        <w:rPr>
          <w:rFonts w:ascii="Times New Roman" w:hAnsi="Times New Roman"/>
          <w:b w:val="false"/>
          <w:i w:val="false"/>
          <w:color w:val="000000"/>
          <w:sz w:val="21"/>
        </w:rPr>
        <w:t>, IAB 9/21/11, effective 10/26/11]</w:t>
      </w:r>
    </w:p>
    <w:p>
      <w:pPr>
        <w:spacing w:before="0" w:after="0"/>
        <w:ind w:left="120"/>
        <w:jc w:val="center"/>
      </w:pPr>
      <w:r>
        <w:rPr>
          <w:rFonts w:ascii="Times New Roman" w:hAnsi="Times New Roman"/>
          <w:b w:val="false"/>
          <w:i w:val="false"/>
          <w:color w:val="000000"/>
          <w:sz w:val="21"/>
        </w:rPr>
        <w:t>[Filed ARC 0781C</w:t>
      </w:r>
      <w:r>
        <w:rPr>
          <w:rFonts w:ascii="Times New Roman" w:hAnsi="Times New Roman"/>
          <w:b w:val="false"/>
          <w:i w:val="false"/>
          <w:color w:val="000000"/>
          <w:sz w:val="21"/>
        </w:rPr>
        <w:t xml:space="preserve"> (Notice ARC 0455C, IAB 11/14/12)</w:t>
      </w:r>
      <w:r>
        <w:rPr>
          <w:rFonts w:ascii="Times New Roman" w:hAnsi="Times New Roman"/>
          <w:b w:val="false"/>
          <w:i w:val="false"/>
          <w:color w:val="000000"/>
          <w:sz w:val="21"/>
        </w:rPr>
        <w:t>, IAB 6/12/13, effective 7/17/13]</w:t>
      </w:r>
    </w:p>
    <w:p>
      <w:pPr>
        <w:spacing w:before="0" w:after="0"/>
        <w:ind w:left="120"/>
        <w:jc w:val="center"/>
      </w:pPr>
      <w:r>
        <w:rPr>
          <w:rFonts w:ascii="Times New Roman" w:hAnsi="Times New Roman"/>
          <w:b w:val="false"/>
          <w:i w:val="false"/>
          <w:color w:val="000000"/>
          <w:sz w:val="21"/>
        </w:rPr>
        <w:t>[Filed ARC 1359C</w:t>
      </w:r>
      <w:r>
        <w:rPr>
          <w:rFonts w:ascii="Times New Roman" w:hAnsi="Times New Roman"/>
          <w:b w:val="false"/>
          <w:i w:val="false"/>
          <w:color w:val="000000"/>
          <w:sz w:val="21"/>
        </w:rPr>
        <w:t xml:space="preserve"> (Notice ARC 1169C, IAB 11/13/13)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1716C</w:t>
      </w:r>
      <w:r>
        <w:rPr>
          <w:rFonts w:ascii="Times New Roman" w:hAnsi="Times New Roman"/>
          <w:b w:val="false"/>
          <w:i w:val="false"/>
          <w:color w:val="000000"/>
          <w:sz w:val="21"/>
        </w:rPr>
        <w:t xml:space="preserve"> (Notice ARC 1600C, IAB 9/3/14)</w:t>
      </w:r>
      <w:r>
        <w:rPr>
          <w:rFonts w:ascii="Times New Roman" w:hAnsi="Times New Roman"/>
          <w:b w:val="false"/>
          <w:i w:val="false"/>
          <w:color w:val="000000"/>
          <w:sz w:val="21"/>
        </w:rPr>
        <w:t>, IAB 11/12/14, effective 12/17/14]</w:t>
      </w:r>
    </w:p>
    <w:p>
      <w:pPr>
        <w:spacing w:before="0" w:after="0"/>
        <w:ind w:left="120"/>
        <w:jc w:val="center"/>
      </w:pPr>
      <w:r>
        <w:rPr>
          <w:rFonts w:ascii="Times New Roman" w:hAnsi="Times New Roman"/>
          <w:b w:val="false"/>
          <w:i w:val="false"/>
          <w:color w:val="000000"/>
          <w:sz w:val="21"/>
        </w:rPr>
        <w:t>[Filed ARC 2244C</w:t>
      </w:r>
      <w:r>
        <w:rPr>
          <w:rFonts w:ascii="Times New Roman" w:hAnsi="Times New Roman"/>
          <w:b w:val="false"/>
          <w:i w:val="false"/>
          <w:color w:val="000000"/>
          <w:sz w:val="21"/>
        </w:rPr>
        <w:t xml:space="preserve"> (Notice ARC 2116C, IAB 9/2/15)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3694C</w:t>
      </w:r>
      <w:r>
        <w:rPr>
          <w:rFonts w:ascii="Times New Roman" w:hAnsi="Times New Roman"/>
          <w:b w:val="false"/>
          <w:i w:val="false"/>
          <w:color w:val="000000"/>
          <w:sz w:val="21"/>
        </w:rPr>
        <w:t xml:space="preserve"> (Notice ARC 3538C,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9.15.2.pdf" Type="http://schemas.openxmlformats.org/officeDocument/2006/relationships/hyperlink" Id="rId5"/>
    <Relationship TargetMode="External" Target="https://www.legis.iowa.gov/docs/iac/rule/199.15.10.pdf" Type="http://schemas.openxmlformats.org/officeDocument/2006/relationships/hyperlink" Id="rId6"/>
    <Relationship TargetMode="External" Target="https://www.legis.iowa.gov/docs/iac/rule/199.15.3.pdf" Type="http://schemas.openxmlformats.org/officeDocument/2006/relationships/hyperlink" Id="rId7"/>
    <Relationship TargetMode="External" Target="https://www.legis.iowa.gov/docs/iac/rule/199.15.4.pdf" Type="http://schemas.openxmlformats.org/officeDocument/2006/relationships/hyperlink" Id="rId8"/>
    <Relationship TargetMode="External" Target="https://www.legis.iowa.gov/docs/iac/rule/199.15.5.pdf" Type="http://schemas.openxmlformats.org/officeDocument/2006/relationships/hyperlink" Id="rId9"/>
    <Relationship TargetMode="External" Target="https://www.legis.iowa.gov/docs/iac/rule/199.15.6.pdf" Type="http://schemas.openxmlformats.org/officeDocument/2006/relationships/hyperlink" Id="rId10"/>
    <Relationship TargetMode="External" Target="https://www.legis.iowa.gov/docs/iac/rule/199.15.9.pdf" Type="http://schemas.openxmlformats.org/officeDocument/2006/relationships/hyperlink" Id="rId11"/>
    <Relationship TargetMode="External" Target="https://www.legis.iowa.gov/docs/iac/rule/199.15.11.pdf" Type="http://schemas.openxmlformats.org/officeDocument/2006/relationships/hyperlink" Id="rId12"/>
    <Relationship TargetMode="External" Target="https://www.legis.iowa.gov/docs/ico/chapter/476.41-45.pdf" Type="http://schemas.openxmlformats.org/officeDocument/2006/relationships/hyperlink" Id="rId13"/>
    <Relationship TargetMode="External" Target="https://www.legis.iowa.gov/docs/iac/rule/199.15.4.pdf" Type="http://schemas.openxmlformats.org/officeDocument/2006/relationships/hyperlink" Id="rId14"/>
    <Relationship TargetMode="External" Target="https://www.legis.iowa.gov/docs/iac/rule/199.15.8.pdf" Type="http://schemas.openxmlformats.org/officeDocument/2006/relationships/hyperlink" Id="rId15"/>
    <Relationship TargetMode="External" Target="https://www.legis.iowa.gov/docs/iac/rule/199.15.5.pdf" Type="http://schemas.openxmlformats.org/officeDocument/2006/relationships/hyperlink" Id="rId16"/>
    <Relationship TargetMode="External" Target="https://www.legis.iowa.gov/docs/iac/rule/199.15.5.pdf" Type="http://schemas.openxmlformats.org/officeDocument/2006/relationships/hyperlink" Id="rId17"/>
    <Relationship TargetMode="External" Target="https://www.legis.iowa.gov/docs/iac/rule/199.15.5.pdf" Type="http://schemas.openxmlformats.org/officeDocument/2006/relationships/hyperlink" Id="rId18"/>
    <Relationship TargetMode="External" Target="https://www.legis.iowa.gov/docs/iac/rule/199.1.3.pdf" Type="http://schemas.openxmlformats.org/officeDocument/2006/relationships/hyperlink" Id="rId19"/>
    <Relationship TargetMode="External" Target="https://www.legis.iowa.gov/docs/iac/chapter/199.45.pdf" Type="http://schemas.openxmlformats.org/officeDocument/2006/relationships/hyperlink" Id="rId20"/>
    <Relationship TargetMode="External" Target="https://www.legis.iowa.gov/docs/iac/chapter/199.25.pdf" Type="http://schemas.openxmlformats.org/officeDocument/2006/relationships/hyperlink" Id="rId21"/>
    <Relationship TargetMode="External" Target="https://www.legis.iowa.gov/docs/iac/rule/199.15.10.pdf" Type="http://schemas.openxmlformats.org/officeDocument/2006/relationships/hyperlink" Id="rId22"/>
    <Relationship TargetMode="External" Target="https://www.legis.iowa.gov/docs/iac/chapter/199.20.pdf" Type="http://schemas.openxmlformats.org/officeDocument/2006/relationships/hyperlink" Id="rId23"/>
    <Relationship TargetMode="External" Target="https://www.legis.iowa.gov/docs/ico/chapter/476.1.pdf" Type="http://schemas.openxmlformats.org/officeDocument/2006/relationships/hyperlink" Id="rId24"/>
    <Relationship TargetMode="External" Target="https://www.legis.iowa.gov/docs/ico/chapter/476.8.pdf" Type="http://schemas.openxmlformats.org/officeDocument/2006/relationships/hyperlink" Id="rId25"/>
    <Relationship TargetMode="External" Target="https://www.legis.iowa.gov/docs/ico/chapter/476.41-45.pdf" Type="http://schemas.openxmlformats.org/officeDocument/2006/relationships/hyperlink" Id="rId26"/>
    <Relationship TargetMode="External" Target="https://www.legis.iowa.gov/docs/ico/chapter/546.7.pdf" Type="http://schemas.openxmlformats.org/officeDocument/2006/relationships/hyperlink" Id="rId27"/>
    <Relationship TargetMode="External" Target="https://www.legis.iowa.gov/docs/iac/rule/199.15.17.pdf" Type="http://schemas.openxmlformats.org/officeDocument/2006/relationships/hyperlink" Id="rId28"/>
    <Relationship TargetMode="External" Target="https://www.legis.iowa.gov/docs/ico/chapter/476.1A.pdf" Type="http://schemas.openxmlformats.org/officeDocument/2006/relationships/hyperlink" Id="rId29"/>
    <Relationship TargetMode="External" Target="https://www.legis.iowa.gov/docs/iac/rule/199.20.9.pdf" Type="http://schemas.openxmlformats.org/officeDocument/2006/relationships/hyperlink" Id="rId30"/>
    <Relationship TargetMode="External" Target="https://www.legis.iowa.gov/docs/ico/chapter/476.1A.pdf" Type="http://schemas.openxmlformats.org/officeDocument/2006/relationships/hyperlink" Id="rId31"/>
    <Relationship TargetMode="External" Target="https://www.legis.iowa.gov/docs/iac/rule/199.15.17.pdf" Type="http://schemas.openxmlformats.org/officeDocument/2006/relationships/hyperlink" Id="rId32"/>
    <Relationship TargetMode="External" Target="https://www.legis.iowa.gov/docs/ico/chapter/476.1A.pdf" Type="http://schemas.openxmlformats.org/officeDocument/2006/relationships/hyperlink" Id="rId33"/>
    <Relationship TargetMode="External" Target="https://www.legis.iowa.gov/docs/iac/rule/199.15.17.pdf" Type="http://schemas.openxmlformats.org/officeDocument/2006/relationships/hyperlink" Id="rId34"/>
    <Relationship TargetMode="External" Target="https://www.legis.iowa.gov/docs/ico/chapter/476.1A.pdf" Type="http://schemas.openxmlformats.org/officeDocument/2006/relationships/hyperlink" Id="rId35"/>
    <Relationship TargetMode="External" Target="https://www.legis.iowa.gov/docs/iac/rule/199.15.17.pdf" Type="http://schemas.openxmlformats.org/officeDocument/2006/relationships/hyperlink" Id="rId36"/>
    <Relationship TargetMode="External" Target="https://www.legis.iowa.gov/docs/iac/rule/199.20.9.pdf" Type="http://schemas.openxmlformats.org/officeDocument/2006/relationships/hyperlink" Id="rId37"/>
    <Relationship TargetMode="External" Target="https://www.legis.iowa.gov/docs/ico/chapter/476.1A.pdf" Type="http://schemas.openxmlformats.org/officeDocument/2006/relationships/hyperlink" Id="rId38"/>
    <Relationship TargetMode="External" Target="https://www.legis.iowa.gov/docs/iac/rule/199.20.9.pdf" Type="http://schemas.openxmlformats.org/officeDocument/2006/relationships/hyperlink" Id="rId39"/>
    <Relationship TargetMode="External" Target="https://www.legis.iowa.gov/docs/iac/rule/199.20.9.pdf" Type="http://schemas.openxmlformats.org/officeDocument/2006/relationships/hyperlink" Id="rId40"/>
    <Relationship TargetMode="External" Target="https://www.legis.iowa.gov/docs/iac/rule/199.20.9.pdf" Type="http://schemas.openxmlformats.org/officeDocument/2006/relationships/hyperlink" Id="rId41"/>
    <Relationship TargetMode="External" Target="https://www.legis.iowa.gov/docs/iac/rule/199.15.17.pdf" Type="http://schemas.openxmlformats.org/officeDocument/2006/relationships/hyperlink" Id="rId42"/>
    <Relationship TargetMode="External" Target="https://www.legis.iowa.gov/docs/ico/chapter/476.1A.pdf" Type="http://schemas.openxmlformats.org/officeDocument/2006/relationships/hyperlink" Id="rId43"/>
    <Relationship TargetMode="External" Target="https://www.legis.iowa.gov/docs/ico/chapter/476.1A.pdf" Type="http://schemas.openxmlformats.org/officeDocument/2006/relationships/hyperlink" Id="rId44"/>
    <Relationship TargetMode="External" Target="https://www.legis.iowa.gov/docs/iac/rule/199.15.17.pdf" Type="http://schemas.openxmlformats.org/officeDocument/2006/relationships/hyperlink" Id="rId45"/>
    <Relationship TargetMode="External" Target="https://www.legis.iowa.gov/docs/ico/chapter/476.1A.pdf" Type="http://schemas.openxmlformats.org/officeDocument/2006/relationships/hyperlink" Id="rId46"/>
    <Relationship TargetMode="External" Target="https://www.legis.iowa.gov/docs/iac/rule/199.15.17.pdf" Type="http://schemas.openxmlformats.org/officeDocument/2006/relationships/hyperlink" Id="rId47"/>
    <Relationship TargetMode="External" Target="https://www.legis.iowa.gov/docs/ico/chapter/476B.pdf" Type="http://schemas.openxmlformats.org/officeDocument/2006/relationships/hyperlink" Id="rId48"/>
    <Relationship TargetMode="External" Target="https://www.legis.iowa.gov/docs/ico/chapter/476B.5.pdf" Type="http://schemas.openxmlformats.org/officeDocument/2006/relationships/hyperlink" Id="rId49"/>
    <Relationship TargetMode="External" Target="https://www.legis.iowa.gov/docs/ico/chapter/476B.5.pdf" Type="http://schemas.openxmlformats.org/officeDocument/2006/relationships/hyperlink" Id="rId50"/>
    <Relationship TargetMode="External" Target="https://www.legis.iowa.gov/docs/ico/chapter/476B.1.pdf" Type="http://schemas.openxmlformats.org/officeDocument/2006/relationships/hyperlink" Id="rId51"/>
    <Relationship TargetMode="External" Target="https://www.legis.iowa.gov/docs/ico/chapter/249J.3.pdf" Type="http://schemas.openxmlformats.org/officeDocument/2006/relationships/hyperlink" Id="rId52"/>
    <Relationship TargetMode="External" Target="https://www.legis.iowa.gov/docs/ico/chapter/476B.pdf" Type="http://schemas.openxmlformats.org/officeDocument/2006/relationships/hyperlink" Id="rId53"/>
    <Relationship TargetMode="External" Target="https://www.legis.iowa.gov/docs/ico/chapter/476B.pdf" Type="http://schemas.openxmlformats.org/officeDocument/2006/relationships/hyperlink" Id="rId54"/>
    <Relationship TargetMode="External" Target="https://www.legis.iowa.gov/docs/ico/chapter/17A.pdf" Type="http://schemas.openxmlformats.org/officeDocument/2006/relationships/hyperlink" Id="rId55"/>
    <Relationship TargetMode="External" Target="https://www.legis.iowa.gov/docs/ico/chapter/476B.5.pdf" Type="http://schemas.openxmlformats.org/officeDocument/2006/relationships/hyperlink" Id="rId56"/>
    <Relationship TargetMode="External" Target="https://www.legis.iowa.gov/docs/ico/chapter/476B.5.pdf" Type="http://schemas.openxmlformats.org/officeDocument/2006/relationships/hyperlink" Id="rId57"/>
    <Relationship TargetMode="External" Target="https://www.legis.iowa.gov/docs/iac/rule/199.15.18.pdf" Type="http://schemas.openxmlformats.org/officeDocument/2006/relationships/hyperlink" Id="rId58"/>
    <Relationship TargetMode="External" Target="https://www.legis.iowa.gov/docs/iac/rule/199.15.18.pdf" Type="http://schemas.openxmlformats.org/officeDocument/2006/relationships/hyperlink" Id="rId59"/>
    <Relationship TargetMode="External" Target="https://www.legis.iowa.gov/docs/iac/rule/199.15.18.pdf" Type="http://schemas.openxmlformats.org/officeDocument/2006/relationships/hyperlink" Id="rId60"/>
    <Relationship TargetMode="External" Target="https://www.legis.iowa.gov/docs/iac/rule/199.15.18.pdf" Type="http://schemas.openxmlformats.org/officeDocument/2006/relationships/hyperlink" Id="rId61"/>
    <Relationship TargetMode="External" Target="https://www.legis.iowa.gov/docs/ico/chapter/476B.pdf" Type="http://schemas.openxmlformats.org/officeDocument/2006/relationships/hyperlink" Id="rId62"/>
    <Relationship TargetMode="External" Target="https://www.legis.iowa.gov/docs/ico/chapter/476C.pdf" Type="http://schemas.openxmlformats.org/officeDocument/2006/relationships/hyperlink" Id="rId63"/>
    <Relationship TargetMode="External" Target="https://www.legis.iowa.gov/docs/ico/chapter/476C.3.pdf" Type="http://schemas.openxmlformats.org/officeDocument/2006/relationships/hyperlink" Id="rId64"/>
    <Relationship TargetMode="External" Target="https://www.legis.iowa.gov/docs/ico/chapter/476.48.pdf" Type="http://schemas.openxmlformats.org/officeDocument/2006/relationships/hyperlink" Id="rId65"/>
    <Relationship TargetMode="External" Target="https://www.legis.iowa.gov/docs/iac/rule/199.15.22.pdf" Type="http://schemas.openxmlformats.org/officeDocument/2006/relationships/hyperlink" Id="rId66"/>
    <Relationship TargetMode="External" Target="https://www.legis.iowa.gov/docs/ico/chapter/476C.1.pdf" Type="http://schemas.openxmlformats.org/officeDocument/2006/relationships/hyperlink" Id="rId67"/>
    <Relationship TargetMode="External" Target="https://www.legis.iowa.gov/docs/ico/chapter/9H.1.pdf" Type="http://schemas.openxmlformats.org/officeDocument/2006/relationships/hyperlink" Id="rId68"/>
    <Relationship TargetMode="External" Target="https://www.legis.iowa.gov/docs/ico/chapter/9H.1.pdf" Type="http://schemas.openxmlformats.org/officeDocument/2006/relationships/hyperlink" Id="rId69"/>
    <Relationship TargetMode="External" Target="https://www.legis.iowa.gov/docs/ico/chapter/9H.1.pdf" Type="http://schemas.openxmlformats.org/officeDocument/2006/relationships/hyperlink" Id="rId70"/>
    <Relationship TargetMode="External" Target="https://www.legis.iowa.gov/docs/ico/chapter/9H.1.pdf" Type="http://schemas.openxmlformats.org/officeDocument/2006/relationships/hyperlink" Id="rId71"/>
    <Relationship TargetMode="External" Target="https://www.legis.iowa.gov/docs/ico/chapter/15.102.pdf" Type="http://schemas.openxmlformats.org/officeDocument/2006/relationships/hyperlink" Id="rId72"/>
    <Relationship TargetMode="External" Target="https://www.legis.iowa.gov/docs/ico/chapter/499.pdf" Type="http://schemas.openxmlformats.org/officeDocument/2006/relationships/hyperlink" Id="rId73"/>
    <Relationship TargetMode="External" Target="https://www.legis.iowa.gov/docs/ico/chapter/499.pdf" Type="http://schemas.openxmlformats.org/officeDocument/2006/relationships/hyperlink" Id="rId74"/>
    <Relationship TargetMode="External" Target="https://www.legis.iowa.gov/docs/ico/chapter/362.2.pdf" Type="http://schemas.openxmlformats.org/officeDocument/2006/relationships/hyperlink" Id="rId75"/>
    <Relationship TargetMode="External" Target="https://www.legis.iowa.gov/docs/ico/chapter/476.pdf" Type="http://schemas.openxmlformats.org/officeDocument/2006/relationships/hyperlink" Id="rId76"/>
    <Relationship TargetMode="External" Target="https://www.legis.iowa.gov/docs/ico/chapter/497.pdf" Type="http://schemas.openxmlformats.org/officeDocument/2006/relationships/hyperlink" Id="rId77"/>
    <Relationship TargetMode="External" Target="https://www.legis.iowa.gov/docs/ico/chapter/489.pdf" Type="http://schemas.openxmlformats.org/officeDocument/2006/relationships/hyperlink" Id="rId78"/>
    <Relationship TargetMode="External" Target="https://www.legis.iowa.gov/docs/ico/chapter/9H.pdf" Type="http://schemas.openxmlformats.org/officeDocument/2006/relationships/hyperlink" Id="rId79"/>
    <Relationship TargetMode="External" Target="https://www.legis.iowa.gov/docs/ico/chapter/476C.1.pdf" Type="http://schemas.openxmlformats.org/officeDocument/2006/relationships/hyperlink" Id="rId80"/>
    <Relationship TargetMode="External" Target="https://www.legis.iowa.gov/docs/ico/chapter/476C.1.pdf" Type="http://schemas.openxmlformats.org/officeDocument/2006/relationships/hyperlink" Id="rId81"/>
    <Relationship TargetMode="External" Target="https://www.legis.iowa.gov/docs/ico/chapter/476C.1.pdf" Type="http://schemas.openxmlformats.org/officeDocument/2006/relationships/hyperlink" Id="rId82"/>
    <Relationship TargetMode="External" Target="https://www.legis.iowa.gov/docs/ico/chapter/476C.1.pdf" Type="http://schemas.openxmlformats.org/officeDocument/2006/relationships/hyperlink" Id="rId83"/>
    <Relationship TargetMode="External" Target="https://www.legis.iowa.gov/docs/ico/chapter/476C.1.pdf" Type="http://schemas.openxmlformats.org/officeDocument/2006/relationships/hyperlink" Id="rId84"/>
    <Relationship TargetMode="External" Target="https://www.legis.iowa.gov/docs/ico/chapter/476C.pdf" Type="http://schemas.openxmlformats.org/officeDocument/2006/relationships/hyperlink" Id="rId85"/>
    <Relationship TargetMode="External" Target="https://www.legis.iowa.gov/docs/ico/chapter/476C.pdf" Type="http://schemas.openxmlformats.org/officeDocument/2006/relationships/hyperlink" Id="rId86"/>
    <Relationship TargetMode="External" Target="https://www.legis.iowa.gov/docs/ico/chapter/476C.1.pdf" Type="http://schemas.openxmlformats.org/officeDocument/2006/relationships/hyperlink" Id="rId87"/>
    <Relationship TargetMode="External" Target="https://www.legis.iowa.gov/docs/ico/chapter/476C.pdf" Type="http://schemas.openxmlformats.org/officeDocument/2006/relationships/hyperlink" Id="rId88"/>
    <Relationship TargetMode="External" Target="https://www.legis.iowa.gov/docs/ico/chapter/476C.pdf" Type="http://schemas.openxmlformats.org/officeDocument/2006/relationships/hyperlink" Id="rId89"/>
    <Relationship TargetMode="External" Target="https://www.legis.iowa.gov/docs/ico/chapter/17A.pdf" Type="http://schemas.openxmlformats.org/officeDocument/2006/relationships/hyperlink" Id="rId90"/>
    <Relationship TargetMode="External" Target="https://www.legis.iowa.gov/docs/ico/chapter/476C.3.pdf" Type="http://schemas.openxmlformats.org/officeDocument/2006/relationships/hyperlink" Id="rId91"/>
    <Relationship TargetMode="External" Target="https://www.legis.iowa.gov/docs/iac/rule/199.15.19.pdf" Type="http://schemas.openxmlformats.org/officeDocument/2006/relationships/hyperlink" Id="rId92"/>
    <Relationship TargetMode="External" Target="https://www.legis.iowa.gov/docs/ico/chapter/476C.3.pdf" Type="http://schemas.openxmlformats.org/officeDocument/2006/relationships/hyperlink" Id="rId93"/>
    <Relationship TargetMode="External" Target="https://www.legis.iowa.gov/docs/iac/rule/199.15.19.pdf" Type="http://schemas.openxmlformats.org/officeDocument/2006/relationships/hyperlink" Id="rId94"/>
    <Relationship TargetMode="External" Target="https://www.legis.iowa.gov/docs/iac/rule/199.15.19.pdf" Type="http://schemas.openxmlformats.org/officeDocument/2006/relationships/hyperlink" Id="rId95"/>
    <Relationship TargetMode="External" Target="https://www.legis.iowa.gov/docs/iac/rule/199.15.19.pdf" Type="http://schemas.openxmlformats.org/officeDocument/2006/relationships/hyperlink" Id="rId96"/>
    <Relationship TargetMode="External" Target="https://www.legis.iowa.gov/docs/iac/rule/199.15.19.pdf" Type="http://schemas.openxmlformats.org/officeDocument/2006/relationships/hyperlink" Id="rId97"/>
    <Relationship TargetMode="External" Target="https://www.legis.iowa.gov/docs/ico/chapter/476C.pdf" Type="http://schemas.openxmlformats.org/officeDocument/2006/relationships/hyperlink" Id="rId98"/>
    <Relationship TargetMode="External" Target="https://www.legis.iowa.gov/docs/ico/chapter/476B.pdf" Type="http://schemas.openxmlformats.org/officeDocument/2006/relationships/hyperlink" Id="rId99"/>
    <Relationship TargetMode="External" Target="https://www.legis.iowa.gov/docs/iac/rule/199.15.18.pdf" Type="http://schemas.openxmlformats.org/officeDocument/2006/relationships/hyperlink" Id="rId100"/>
    <Relationship TargetMode="External" Target="https://www.legis.iowa.gov/docs/iac/rule/199.15.18.pdf" Type="http://schemas.openxmlformats.org/officeDocument/2006/relationships/hyperlink" Id="rId101"/>
    <Relationship TargetMode="External" Target="https://www.legis.iowa.gov/docs/ico/chapter/427B.26.pdf" Type="http://schemas.openxmlformats.org/officeDocument/2006/relationships/hyperlink" Id="rId102"/>
    <Relationship TargetMode="External" Target="https://www.legis.iowa.gov/docs/ico/chapter/427B.26.pdf" Type="http://schemas.openxmlformats.org/officeDocument/2006/relationships/hyperlink" Id="rId103"/>
    <Relationship TargetMode="External" Target="https://www.legis.iowa.gov/docs/ico/chapter/476B.6.pdf" Type="http://schemas.openxmlformats.org/officeDocument/2006/relationships/hyperlink" Id="rId104"/>
    <Relationship TargetMode="External" Target="https://www.legis.iowa.gov/docs/iac/rule/199.14.2.pdf" Type="http://schemas.openxmlformats.org/officeDocument/2006/relationships/hyperlink" Id="rId105"/>
    <Relationship TargetMode="External" Target="https://www.legis.iowa.gov/docs/iac/rule/199.1.9.pdf" Type="http://schemas.openxmlformats.org/officeDocument/2006/relationships/hyperlink" Id="rId106"/>
    <Relationship TargetMode="External" Target="https://www.legis.iowa.gov/docs/ico/chapter/422.20.pdf" Type="http://schemas.openxmlformats.org/officeDocument/2006/relationships/hyperlink" Id="rId107"/>
    <Relationship TargetMode="External" Target="https://www.legis.iowa.gov/docs/iac/rule/199.1.9.pdf" Type="http://schemas.openxmlformats.org/officeDocument/2006/relationships/hyperlink" Id="rId108"/>
    <Relationship TargetMode="External" Target="https://www.legis.iowa.gov/docs/iac/rule/199.15.20.pdf" Type="http://schemas.openxmlformats.org/officeDocument/2006/relationships/hyperlink" Id="rId109"/>
    <Relationship TargetMode="External" Target="https://www.legis.iowa.gov/docs/iac/rule/199.15.18.pdf" Type="http://schemas.openxmlformats.org/officeDocument/2006/relationships/hyperlink" Id="rId110"/>
    <Relationship TargetMode="External" Target="https://www.legis.iowa.gov/docs/iac/rule/199.15.18.pdf" Type="http://schemas.openxmlformats.org/officeDocument/2006/relationships/hyperlink" Id="rId111"/>
    <Relationship TargetMode="External" Target="https://www.legis.iowa.gov/docs/ico/chapter/476B.6.pdf" Type="http://schemas.openxmlformats.org/officeDocument/2006/relationships/hyperlink" Id="rId112"/>
    <Relationship TargetMode="External" Target="https://www.legis.iowa.gov/docs/ico/chapter/476B.6.pdf" Type="http://schemas.openxmlformats.org/officeDocument/2006/relationships/hyperlink" Id="rId113"/>
    <Relationship TargetMode="External" Target="https://www.legis.iowa.gov/docs/iac/rule/199.15.21.pdf" Type="http://schemas.openxmlformats.org/officeDocument/2006/relationships/hyperlink" Id="rId114"/>
    <Relationship TargetMode="External" Target="https://www.legis.iowa.gov/docs/iac/rule/701.42.25.pdf" Type="http://schemas.openxmlformats.org/officeDocument/2006/relationships/hyperlink" Id="rId115"/>
    <Relationship TargetMode="External" Target="https://www.legis.iowa.gov/docs/iac/rule/701.52.26.pdf" Type="http://schemas.openxmlformats.org/officeDocument/2006/relationships/hyperlink" Id="rId116"/>
    <Relationship TargetMode="External" Target="https://www.legis.iowa.gov/docs/ico/chapter/476B.pdf" Type="http://schemas.openxmlformats.org/officeDocument/2006/relationships/hyperlink" Id="rId117"/>
    <Relationship TargetMode="External" Target="https://www.legis.iowa.gov/docs/iac/rule/199.15.18.pdf" Type="http://schemas.openxmlformats.org/officeDocument/2006/relationships/hyperlink" Id="rId118"/>
    <Relationship TargetMode="External" Target="https://www.legis.iowa.gov/docs/ico/chapter/422.pdf" Type="http://schemas.openxmlformats.org/officeDocument/2006/relationships/hyperlink" Id="rId119"/>
    <Relationship TargetMode="External" Target="https://www.legis.iowa.gov/docs/ico/chapter/476B.pdf" Type="http://schemas.openxmlformats.org/officeDocument/2006/relationships/hyperlink" Id="rId120"/>
    <Relationship TargetMode="External" Target="https://www.legis.iowa.gov/docs/ico/chapter/422.pdf" Type="http://schemas.openxmlformats.org/officeDocument/2006/relationships/hyperlink" Id="rId121"/>
    <Relationship TargetMode="External" Target="https://www.legis.iowa.gov/docs/ico/chapter/423.pdf" Type="http://schemas.openxmlformats.org/officeDocument/2006/relationships/hyperlink" Id="rId122"/>
    <Relationship TargetMode="External" Target="https://www.legis.iowa.gov/docs/ico/chapter/432.pdf" Type="http://schemas.openxmlformats.org/officeDocument/2006/relationships/hyperlink" Id="rId123"/>
    <Relationship TargetMode="External" Target="https://www.legis.iowa.gov/docs/ico/chapter/437A.pdf" Type="http://schemas.openxmlformats.org/officeDocument/2006/relationships/hyperlink" Id="rId124"/>
    <Relationship TargetMode="External" Target="https://www.legis.iowa.gov/docs/iac/rule/199.15.18.pdf" Type="http://schemas.openxmlformats.org/officeDocument/2006/relationships/hyperlink" Id="rId125"/>
    <Relationship TargetMode="External" Target="https://www.legis.iowa.gov/docs/iac/rule/701.42.25.pdf" Type="http://schemas.openxmlformats.org/officeDocument/2006/relationships/hyperlink" Id="rId126"/>
    <Relationship TargetMode="External" Target="https://www.legis.iowa.gov/docs/iac/rule/701.52.26.pdf" Type="http://schemas.openxmlformats.org/officeDocument/2006/relationships/hyperlink" Id="rId127"/>
    <Relationship TargetMode="External" Target="https://www.legis.iowa.gov/docs/iac/rule/701.58.15.pdf" Type="http://schemas.openxmlformats.org/officeDocument/2006/relationships/hyperlink" Id="rId128"/>
    <Relationship TargetMode="External" Target="https://www.legis.iowa.gov/docs/ico/chapter/476C.pdf" Type="http://schemas.openxmlformats.org/officeDocument/2006/relationships/hyperlink" Id="rId129"/>
    <Relationship TargetMode="External" Target="https://www.legis.iowa.gov/docs/iac/rule/199.15.19.pdf" Type="http://schemas.openxmlformats.org/officeDocument/2006/relationships/hyperlink" Id="rId130"/>
    <Relationship TargetMode="External" Target="https://www.legis.iowa.gov/docs/iac/rule/199.15.19.pdf" Type="http://schemas.openxmlformats.org/officeDocument/2006/relationships/hyperlink" Id="rId131"/>
    <Relationship TargetMode="External" Target="https://www.legis.iowa.gov/docs/iac/rule/199.14.2.pdf" Type="http://schemas.openxmlformats.org/officeDocument/2006/relationships/hyperlink" Id="rId132"/>
    <Relationship TargetMode="External" Target="https://www.legis.iowa.gov/docs/iac/rule/199.1.9.pdf" Type="http://schemas.openxmlformats.org/officeDocument/2006/relationships/hyperlink" Id="rId133"/>
    <Relationship TargetMode="External" Target="https://www.legis.iowa.gov/docs/ico/chapter/422.20.pdf" Type="http://schemas.openxmlformats.org/officeDocument/2006/relationships/hyperlink" Id="rId134"/>
    <Relationship TargetMode="External" Target="https://www.legis.iowa.gov/docs/iac/rule/199.1.9.pdf" Type="http://schemas.openxmlformats.org/officeDocument/2006/relationships/hyperlink" Id="rId135"/>
    <Relationship TargetMode="External" Target="https://www.legis.iowa.gov/docs/iac/rule/199.15.19.pdf" Type="http://schemas.openxmlformats.org/officeDocument/2006/relationships/hyperlink" Id="rId136"/>
    <Relationship TargetMode="External" Target="https://www.legis.iowa.gov/docs/iac/rule/199.15.21.pdf" Type="http://schemas.openxmlformats.org/officeDocument/2006/relationships/hyperlink" Id="rId137"/>
    <Relationship TargetMode="External" Target="https://www.legis.iowa.gov/docs/iac/rule/199.15.19.pdf" Type="http://schemas.openxmlformats.org/officeDocument/2006/relationships/hyperlink" Id="rId138"/>
    <Relationship TargetMode="External" Target="https://www.legis.iowa.gov/docs/iac/rule/199.15.19.pdf" Type="http://schemas.openxmlformats.org/officeDocument/2006/relationships/hyperlink" Id="rId139"/>
    <Relationship TargetMode="External" Target="https://www.legis.iowa.gov/docs/iac/rule/199.15.20.pdf" Type="http://schemas.openxmlformats.org/officeDocument/2006/relationships/hyperlink" Id="rId140"/>
    <Relationship TargetMode="External" Target="https://www.legis.iowa.gov/docs/iac/rule/199.15.19.pdf" Type="http://schemas.openxmlformats.org/officeDocument/2006/relationships/hyperlink" Id="rId141"/>
    <Relationship TargetMode="External" Target="https://www.legis.iowa.gov/docs/ico/chapter/476C.pdf" Type="http://schemas.openxmlformats.org/officeDocument/2006/relationships/hyperlink" Id="rId142"/>
    <Relationship TargetMode="External" Target="https://www.legis.iowa.gov/docs/iac/rule/199.15.19.pdf" Type="http://schemas.openxmlformats.org/officeDocument/2006/relationships/hyperlink" Id="rId143"/>
    <Relationship TargetMode="External" Target="https://www.legis.iowa.gov/docs/ico/chapter/422.pdf" Type="http://schemas.openxmlformats.org/officeDocument/2006/relationships/hyperlink" Id="rId144"/>
    <Relationship TargetMode="External" Target="https://www.legis.iowa.gov/docs/ico/chapter/476C.pdf" Type="http://schemas.openxmlformats.org/officeDocument/2006/relationships/hyperlink" Id="rId145"/>
    <Relationship TargetMode="External" Target="https://www.legis.iowa.gov/docs/ico/chapter/422.pdf" Type="http://schemas.openxmlformats.org/officeDocument/2006/relationships/hyperlink" Id="rId146"/>
    <Relationship TargetMode="External" Target="https://www.legis.iowa.gov/docs/ico/chapter/423.pdf" Type="http://schemas.openxmlformats.org/officeDocument/2006/relationships/hyperlink" Id="rId147"/>
    <Relationship TargetMode="External" Target="https://www.legis.iowa.gov/docs/ico/chapter/432.pdf" Type="http://schemas.openxmlformats.org/officeDocument/2006/relationships/hyperlink" Id="rId148"/>
    <Relationship TargetMode="External" Target="https://www.legis.iowa.gov/docs/ico/chapter/437A.pdf" Type="http://schemas.openxmlformats.org/officeDocument/2006/relationships/hyperlink" Id="rId149"/>
    <Relationship TargetMode="External" Target="https://www.legis.iowa.gov/docs/iac/rule/199.15.19.pdf" Type="http://schemas.openxmlformats.org/officeDocument/2006/relationships/hyperlink" Id="rId150"/>
    <Relationship TargetMode="External" Target="https://www.legis.iowa.gov/docs/iac/rule/701.42.26.pdf" Type="http://schemas.openxmlformats.org/officeDocument/2006/relationships/hyperlink" Id="rId151"/>
    <Relationship TargetMode="External" Target="https://www.legis.iowa.gov/docs/iac/rule/701.52.27.pdf" Type="http://schemas.openxmlformats.org/officeDocument/2006/relationships/hyperlink" Id="rId152"/>
    <Relationship TargetMode="External" Target="https://www.legis.iowa.gov/docs/iac/rule/701.58.16.pdf" Type="http://schemas.openxmlformats.org/officeDocument/2006/relationships/hyperlink" Id="rId153"/>
    <Relationship TargetMode="External" Target="https://www.legis.iowa.gov/docs/iac/chapter/199.45.pdf" Type="http://schemas.openxmlformats.org/officeDocument/2006/relationships/hyperlink" Id="rId154"/>
    <Relationship TargetMode="External" Target="https://www.legis.iowa.gov/docs/ico/chapter/476.48.pdf" Type="http://schemas.openxmlformats.org/officeDocument/2006/relationships/hyperlink" Id="rId155"/>
    <Relationship TargetMode="External" Target="http://www.iowaleague.org" Type="http://schemas.openxmlformats.org/officeDocument/2006/relationships/hyperlink" Id="rId156"/>
    <Relationship TargetMode="External" Target="http://www.iowacounties.org" Type="http://schemas.openxmlformats.org/officeDocument/2006/relationships/hyperlink" Id="rId157"/>
    <Relationship TargetMode="External" Target="https://www.legis.iowa.gov/docs/iac/chapter/199.45.pdf" Type="http://schemas.openxmlformats.org/officeDocument/2006/relationships/hyperlink" Id="rId158"/>
    <Relationship TargetMode="External" Target="https://www.legis.iowa.gov/docs/iac/chapter/199.45.pdf" Type="http://schemas.openxmlformats.org/officeDocument/2006/relationships/hyperlink" Id="rId159"/>
    <Relationship TargetMode="External" Target="https://www.legis.iowa.gov/docs/ico/chapter/476.48.pdf" Type="http://schemas.openxmlformats.org/officeDocument/2006/relationships/hyperlink" Id="rId160"/>
    <Relationship TargetMode="External" Target="https://www.legis.iowa.gov/docs/ico/chapter/476.48.pdf" Type="http://schemas.openxmlformats.org/officeDocument/2006/relationships/hyperlink" Id="rId161"/>
    <Relationship TargetMode="External" Target="https://www.legis.iowa.gov/docs/iac/chapter/199.45.pdf" Type="http://schemas.openxmlformats.org/officeDocument/2006/relationships/hyperlink" Id="rId162"/>
    <Relationship TargetMode="External" Target="https://www.legis.iowa.gov/docs/iac/chapter/199.45.pdf" Type="http://schemas.openxmlformats.org/officeDocument/2006/relationships/hyperlink" Id="rId163"/>
    <Relationship TargetMode="External" Target="https://www.legis.iowa.gov/docs/iac/chapter/199.45.pdf" Type="http://schemas.openxmlformats.org/officeDocument/2006/relationships/hyperlink" Id="rId164"/>
    <Relationship TargetMode="External" Target="https://www.legis.iowa.gov/docs/iac/chapter/199.45.pdf" Type="http://schemas.openxmlformats.org/officeDocument/2006/relationships/hyperlink" Id="rId165"/>
    <Relationship TargetMode="External" Target="https://www.legis.iowa.gov/docs/iac/rule/199.15.22.pdf" Type="http://schemas.openxmlformats.org/officeDocument/2006/relationships/hyperlink" Id="rId166"/>
    <Relationship TargetMode="External" Target="https://www.legis.iowa.gov/docs/iac/chapter/199.45.pdf" Type="http://schemas.openxmlformats.org/officeDocument/2006/relationships/hyperlink" Id="rId167"/>
    <Relationship TargetMode="External" Target="http:// www.state.ia.us/iuc" Type="http://schemas.openxmlformats.org/officeDocument/2006/relationships/hyperlink" Id="rId168"/>
    <Relationship TargetMode="External" Target="https://www.legis.iowa.gov/docs/ico/chapter/476.1.pdf" Type="http://schemas.openxmlformats.org/officeDocument/2006/relationships/hyperlink" Id="rId169"/>
    <Relationship TargetMode="External" Target="https://www.legis.iowa.gov/docs/ico/chapter/476.8.pdf" Type="http://schemas.openxmlformats.org/officeDocument/2006/relationships/hyperlink" Id="rId170"/>
    <Relationship TargetMode="External" Target="https://www.legis.iowa.gov/docs/ico/chapter/476.41-45.pdf" Type="http://schemas.openxmlformats.org/officeDocument/2006/relationships/hyperlink" Id="rId171"/>
    <Relationship TargetMode="External" Target="https://www.legis.iowa.gov/docs/ico/chapter/546.7.pdf" Type="http://schemas.openxmlformats.org/officeDocument/2006/relationships/hyperlink" Id="rId17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