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ELECTRIC LINES</w:t>
      </w:r>
    </w:p>
    <w:p>
      <w:pPr>
        <w:spacing w:before="0" w:after="0"/>
        <w:ind w:left="120"/>
        <w:jc w:val="center"/>
      </w:pPr>
      <w:r>
        <w:rPr>
          <w:rFonts w:ascii="Times New Roman" w:hAnsi="Times New Roman"/>
          <w:b w:val="false"/>
          <w:i w:val="false"/>
          <w:color w:val="000000"/>
          <w:sz w:val="14"/>
        </w:rPr>
        <w:t>[Previously Ch 2, renumbered 10/20/75 Supp.]</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199—11.1</w:t>
      </w:r>
      <w:r>
        <w:rPr>
          <w:rFonts w:ascii="Times New Roman" w:hAnsi="Times New Roman"/>
          <w:b/>
          <w:i w:val="false"/>
          <w:color w:val="000000"/>
          <w:sz w:val="22"/>
        </w:rPr>
        <w:t xml:space="preserve">(478)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Purpose and authority. </w:t>
      </w:r>
      <w:r>
        <w:rPr>
          <w:rFonts w:ascii="Times New Roman" w:hAnsi="Times New Roman"/>
          <w:b w:val="false"/>
          <w:i w:val="false"/>
          <w:color w:val="000000"/>
          <w:sz w:val="22"/>
        </w:rPr>
        <w:t xml:space="preserve">The purpose of this chapter is to implement the requirements in Iowa Code chapter </w:t>
      </w:r>
      <w:hyperlink r:id="rId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to establish procedures for electric franchise proceedings before the Iowa utilities commission. This chapter shall apply to any person engaged in the construction, operation, and maintenance of electric transmission lines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Iowa electrical safety code. </w:t>
      </w:r>
      <w:r>
        <w:rPr>
          <w:rFonts w:ascii="Times New Roman" w:hAnsi="Times New Roman"/>
          <w:b w:val="false"/>
          <w:i w:val="false"/>
          <w:color w:val="000000"/>
          <w:sz w:val="22"/>
        </w:rPr>
        <w:t xml:space="preserve">Overhead and underground electric line minimum safety requirements to be applied in installation, operation, and maintenance are found in </w:t>
      </w:r>
      <w:hyperlink r:id="rId6">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Iowa electrical safety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 xml:space="preserve">A petition for franchise, and all other filings, shall be considered filed when accepted for filing by the commission pursuant to </w:t>
      </w:r>
      <w:hyperlink r:id="rId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Franchise, when required. </w:t>
      </w:r>
      <w:r>
        <w:rPr>
          <w:rFonts w:ascii="Times New Roman" w:hAnsi="Times New Roman"/>
          <w:b w:val="false"/>
          <w:i w:val="false"/>
          <w:color w:val="000000"/>
          <w:sz w:val="22"/>
        </w:rPr>
        <w:t xml:space="preserve">An electric franchise shall be required for the construction, operation, and maintenance of any electric line capable of operating at 69,000 volts (69 kV) or more outside of cities, except that a franchise is not required for electric lines located entirely within the boundaries of property owned by a person engaged in the transmission or distribution of electric power or an end user.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199—11.2</w:t>
      </w:r>
      <w:r>
        <w:rPr>
          <w:rFonts w:ascii="Times New Roman" w:hAnsi="Times New Roman"/>
          <w:b/>
          <w:i w:val="false"/>
          <w:color w:val="000000"/>
          <w:sz w:val="22"/>
        </w:rPr>
        <w:t xml:space="preserve">(478)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administration and interpretation of this chapter, the following words and terms, when used in these rules, shall have the meanings indicated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 xml:space="preserve">means any person with a legal right or interest in the property, including but not limited to a landowner, contract purchaser of record, a person possessing the property under a lease, a record lienholder, and a record encumbrancer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“Capable of operating” </w:t>
      </w:r>
      <w:r>
        <w:rPr>
          <w:rFonts w:ascii="Times New Roman" w:hAnsi="Times New Roman"/>
          <w:b w:val="false"/>
          <w:i w:val="false"/>
          <w:color w:val="000000"/>
          <w:sz w:val="22"/>
        </w:rPr>
        <w:t>means the standard voltage rating at which the electric line, wire, or cable can be operated consistent with the level of the insulators and the conductors used in construction of the electric line, wire, or cable based on manufacturer’s specifications, industry practice, and applicable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company” </w:t>
      </w:r>
      <w:r>
        <w:rPr>
          <w:rFonts w:ascii="Times New Roman" w:hAnsi="Times New Roman"/>
          <w:b w:val="false"/>
          <w:i w:val="false"/>
          <w:color w:val="000000"/>
          <w:sz w:val="22"/>
        </w:rPr>
        <w:t xml:space="preserve">means any person that proposes to construct, erect, maintain, or operate an electric line, wire, or cable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8">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“Termini” </w:t>
      </w:r>
      <w:r>
        <w:rPr>
          <w:rFonts w:ascii="Times New Roman" w:hAnsi="Times New Roman"/>
          <w:b w:val="false"/>
          <w:i w:val="false"/>
          <w:color w:val="000000"/>
          <w:sz w:val="22"/>
        </w:rPr>
        <w:t>means the electrically functional end points of an electric line, without which it could not serve a public use. Examples of termini may include, but are not limited to, generating stations, substations, or switching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electric line, wire, or cable capable of operating at 69 kilovolts or more.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199—11.3</w:t>
      </w:r>
      <w:r>
        <w:rPr>
          <w:rFonts w:ascii="Times New Roman" w:hAnsi="Times New Roman"/>
          <w:b/>
          <w:i w:val="false"/>
          <w:color w:val="000000"/>
          <w:sz w:val="22"/>
        </w:rPr>
        <w:t xml:space="preserve">(478) </w:t>
      </w:r>
      <w:r>
        <w:rPr>
          <w:rFonts w:ascii="Times New Roman" w:hAnsi="Times New Roman"/>
          <w:b/>
          <w:i w:val="false"/>
          <w:color w:val="000000"/>
          <w:sz w:val="22"/>
        </w:rPr>
        <w:t xml:space="preserve">Route selection. </w:t>
      </w:r>
      <w:r>
        <w:rPr>
          <w:rFonts w:ascii="Times New Roman" w:hAnsi="Times New Roman"/>
          <w:b w:val="false"/>
          <w:i w:val="false"/>
          <w:color w:val="000000"/>
          <w:sz w:val="22"/>
        </w:rPr>
        <w:t xml:space="preserve">The planning for a route that is the subject of a petition for franchise shall begin with routes that are near and parallel to roads, railroad rights-of-way, or division lines of land, according to the government survey, consistent with the provisions of Iowa Code section </w:t>
      </w:r>
      <w:hyperlink r:id="rId9">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Where deviations allowed. </w:t>
      </w:r>
      <w:r>
        <w:rPr>
          <w:rFonts w:ascii="Times New Roman" w:hAnsi="Times New Roman"/>
          <w:b w:val="false"/>
          <w:i w:val="false"/>
          <w:color w:val="000000"/>
          <w:sz w:val="22"/>
        </w:rPr>
        <w:t xml:space="preserve">Where a route planned near and parallel to roads, railroad rights-of-way, or division lines of land would contain segments making transmission line construction not practicable and reasonable, generally for engineering reasons, route deviation(s) may be proposed and accompanied by a proper evidentiary showing that the initial route or routes examined did not meet practicable and reasonable standards pursuant to Iowa Code section </w:t>
      </w:r>
      <w:hyperlink r:id="rId10">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 Deviations based on landowner preference or those that minimize interference with land may be permissible; however, the electric company must demonstrate that route planning began with a route or routes located near and parallel to roads, railroad rights-of-way, or division lines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Distance from buildings. </w:t>
      </w:r>
      <w:r>
        <w:rPr>
          <w:rFonts w:ascii="Times New Roman" w:hAnsi="Times New Roman"/>
          <w:b w:val="false"/>
          <w:i w:val="false"/>
          <w:color w:val="000000"/>
          <w:sz w:val="22"/>
        </w:rPr>
        <w:t xml:space="preserve">No transmission line shall be constructed outside of cities, except by agreement, within 100 feet of any dwelling, house or other building, except where the transmission line crosses or passes along a public highway or is located alongside or parallel with the right-of-way of any railroad company, consistent with the provisions of Iowa Code section </w:t>
      </w:r>
      <w:hyperlink r:id="rId11">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Construction of a new building within 100 feet of an existing transmission line shall be construed as “agreement” within the meaning of Iowa Code section </w:t>
      </w:r>
      <w:hyperlink r:id="rId12">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a petition for temporary construction permit is made as provided in Iowa Code section </w:t>
      </w:r>
      <w:hyperlink r:id="rId13">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xml:space="preserve">, an affidavit filed by an electric company will be accepted as a showing of consent for the crossing if the affidavit states the following provisions, as provided for in rule </w:t>
      </w:r>
      <w:hyperlink r:id="rId14">
        <w:r>
          <w:rPr>
            <w:rStyle w:val="Hyperlink"/>
            <w:rFonts w:ascii="Times New Roman" w:hAnsi="Times New Roman"/>
            <w:b w:val="false"/>
            <w:i w:val="false"/>
            <w:color w:val="000000"/>
            <w:sz w:val="22"/>
          </w:rPr>
          <w:t>199—42.3</w:t>
        </w:r>
      </w:hyperlink>
      <w:r>
        <w:rPr>
          <w:rFonts w:ascii="Times New Roman" w:hAnsi="Times New Roman"/>
          <w:b w:val="false"/>
          <w:i w:val="false"/>
          <w:color w:val="000000"/>
          <w:sz w:val="22"/>
        </w:rPr>
        <w:t>(476), have been met: (1) that proper application for approval of the railroad crossing has been made, (2) that a one-time crossing fee has been paid, and (3) that 35 days have passed since mailing of the application and payment with no claim of special circumstance or objection from the railroad. Such affidavit or an affirmative statement of consent from the railroad shall be filed as soon as possible and must be filed prior to commencement of construction of the railroad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199—11.4</w:t>
      </w:r>
      <w:r>
        <w:rPr>
          <w:rFonts w:ascii="Times New Roman" w:hAnsi="Times New Roman"/>
          <w:b/>
          <w:i w:val="false"/>
          <w:color w:val="000000"/>
          <w:sz w:val="22"/>
        </w:rPr>
        <w:t xml:space="preserve">(478)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Not less than 30 days or more than two years prior to filing a petition or related petitions requesting a franchise for a new transmission line with one or more miles of the total proposed route across privately owned real estate, the electric company shall hold an informational meeting in each county in which real property or real property rights will be affected. An informational meeting is required to be held in each county where property rights will be affected regardless of the length of the portion of the proposed transmission line in a county. The length of easements required for conductor and crossarm overhang of private property, even if no supporting structures are located on that property, shall be included in determining whether an informational meeting is required pursuant to Iowa Code section </w:t>
      </w:r>
      <w:hyperlink r:id="rId15">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Electric companies filing a petition for franchise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(ADA) Standards for Accessible Design, including both Title III regulations at 28 CFR Part 36, Subpart D, and the 2004 ADA Accessibility Guidelines (ADAAG) at 36 CFR Part 1191, Appendices B and D (as amended through September 2, 2020), where such a building or facility is reasonably available.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The informational meeting location shall be reasonably accessible to all persons who may be affected by the granting of a franchise in that county or who have an interest in the proposed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At the informational meeting, qualified personnel representing the electric company shall make a presentation that includes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service requirements and planning which have resulted in the proposed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transmission line will be constructed.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terms, the physical construction, appearance and typical location of poles and conductors with respect to property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terms, the rights which the electric company shall seek to acquire by easements.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to be followed in contacting affected persons with whom the electric company may seek specific negotiations in acquiring voluntary easements.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and factors used in arriving at an offered price for voluntary easements including the range of cash amount of each component. An example of an offer sheet shall be included as part of the 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manner in which voluntary easement payments are made, including discussion of conditional easements, signing fees, and time of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factors or damages which are not included in the easement but for which compensation is made, including features of interest to affected persons but not limited to computation of amounts and manner of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undertaking is a joint effort by more than one electric company, all of the electric companies involved in the project shall be represented at the informational meeting by qualified personnel able to speak on the matters required by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An electric company proposing to schedule an informational meeting shall file a request with the commission to schedule the informational meeting and shall include a proposed date and time for the informational meeting, an alternate date and time, and a general description of the proposed project and route. The commission shall notify the electric company within ten days from the filing of the request whether the request is approved or alternate dates and times are required. Not less than 30 days prior to the informational meeting, the electric company shall file with the commission the location of the informational meeting and a map of the proposed route that includes the notification corridor. Once a date and time for the informational meeting have been approved and not less than 14 days prior to the informational meeting, the electric company shall file a copy of the informational meeting presentation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Notice of informational meeting. </w:t>
      </w:r>
      <w:r>
        <w:rPr>
          <w:rFonts w:ascii="Times New Roman" w:hAnsi="Times New Roman"/>
          <w:b w:val="false"/>
          <w:i w:val="false"/>
          <w:color w:val="000000"/>
          <w:sz w:val="22"/>
        </w:rPr>
        <w:t>Notice of each informational meeting shall be provided by certified mail, return receipt requested, to those persons listed on the tax assessment rolls as responsible for payment of real estate taxes on the property and persons in possession of or residing on the property within the notification corridor where the proposed transmission line will be located. The notification corridor includes any property over which the electric company may seek easements. Not less than 30 days prior to the date of the informational meeting, a copy of the notice shall be filed with the commission and the notice shall be deposited in the U.S. mail by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description and purpose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nature of the right-of-way desired;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possibility that the right-of-way may be acquired by condemnation if approved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showing the route of the proposed project and the notification corridor;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process used by the commission in making a decision on whether to approve a franchise, including the right to take property by eminent domain;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affected persons have a right to be present at the informational meeting and to file objections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Designation of the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Persons with disabilities requiring assistive services or devices to observe or participate should contact the Utilities Commission at (515)725-7300 in advance of the scheduled date to request accommodations;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damages as described in subrule </w:t>
      </w:r>
      <w:hyperlink r:id="rId16">
        <w:r>
          <w:rPr>
            <w:rStyle w:val="Hyperlink"/>
            <w:rFonts w:ascii="Times New Roman" w:hAnsi="Times New Roman"/>
            <w:b w:val="false"/>
            <w:i w:val="false"/>
            <w:color w:val="000000"/>
            <w:sz w:val="22"/>
          </w:rPr>
          <w:t>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cause the meeting notice, including the map, to be published once in a newspaper of general circulation in each county where the proposed line is to be located. The notice shall be published at least one week and not more than three weeks prior to the date of the meeting. Publication shall be considered notice to landowners and persons in possession of or residing on the property whose addresses are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file prior to the informational meeting an affidavit that describes the good-faith effort the electric company undertook to locate the addresses of persons listed on the tax assessment rolls as responsible for payment of real estate taxes imposed on the property within the notification corridor where the proposed transmission line is to be located and those persons in possession of or residing on the property. The affidavit shall be signed by an officer of the electric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199—11.5</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 new franchise. </w:t>
      </w:r>
      <w:r>
        <w:rPr>
          <w:rFonts w:ascii="Times New Roman" w:hAnsi="Times New Roman"/>
          <w:b w:val="false"/>
          <w:i w:val="false"/>
          <w:color w:val="000000"/>
          <w:sz w:val="22"/>
        </w:rPr>
        <w:t>A single docket will be assigned to a proposed transmission line even if the transmission line will be located in more than one county. The electric company may request one franchise for the entire transmission line or may request separate franchises in each county where the proposed transmission line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 new franchise shall be filed on forms prescribed by the commission, shall be notarized, and shall have all required exhibits attached. Exhibits in addition to those required by this rule may be attached when appropriate. The petition shall be attested to by an officer, official, or attorney with authority to represent the electric company. The following exhibits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In the case of multicounty projects, the description shall identify all counties involved in the total project and the termini located in other counties. When the route is in or adjacent to the right-of-way of a named road or a railroad, the exhibit shall specifically identify the road or railroad by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may not be smaller than one inch to the mile and shall be legible when printed on paper no larger than 11 by 17 inches. The following minimum information shall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route of the transmission line which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location and identity of 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boundaries of any public lands or parks, recreational areas, preserves or wildlife refuges.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electric lines, including lines owned by the electric company, within six-tenths of a mile of the route, including the voltage at which the lines are operated, whether the lines are overhead or buried, and the names and addresses of the owners. Any electric lines to be removed or relocated shall be designated.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location of railroad rights-of-way, including the names and addresses of the owners.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location of airports or landing strips within one mile of the route, along with the names and addresses of the owners.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location of pipelines used for the transportation of any solid, liquid, or gaseous substance, except water, within six-tenths of a mile of the route, along with the names and addresses of the owners.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names and addresses of the owners of telephone, communication, or cable television lines within six-tenths of a mile of the route. The location of these lines need not be shown.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The names and addresses of the owners of rural water districts organized pursuant to Iowa Code chapter </w:t>
      </w:r>
      <w:hyperlink r:id="rId17">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that have facilities within six-tenths of a mile of the route. The location of these facilities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of the entire route to be franchised if the route is located in more than one county or there is more than one map for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a written text containing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with an allegation and supporting information that the transmission line is necessary to serve a public use and represents a reasonable relationship to an overall plan of transmitting electricity in the public interest. Additional substantiated allegations as may be required by Iowa Code section </w:t>
      </w:r>
      <w:hyperlink r:id="rId18">
        <w:r>
          <w:rPr>
            <w:rStyle w:val="Hyperlink"/>
            <w:rFonts w:ascii="Times New Roman" w:hAnsi="Times New Roman"/>
            <w:b w:val="false"/>
            <w:i w:val="false"/>
            <w:color w:val="000000"/>
            <w:sz w:val="22"/>
          </w:rPr>
          <w:t>478.3(2)</w:t>
        </w:r>
      </w:hyperlink>
      <w:r>
        <w:rPr>
          <w:rFonts w:ascii="Times New Roman" w:hAnsi="Times New Roman"/>
          <w:b w:val="false"/>
          <w:i w:val="false"/>
          <w:color w:val="000000"/>
          <w:sz w:val="22"/>
        </w:rPr>
        <w:t xml:space="preserve"> shall also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route or any portion thereof is not near and parallel to roads or railroad rights-of-way, or along division lines of the lands, according to government surveys, an explanation of why such parallel routing is not practicable or reasonable.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regarding the availability of routes on an existing electric line right-of-way and an explanation of why this route was not selected.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new franchise must be sought for an existing transmission line, historical information regarding the prior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status of any other authorizations the electric company is required to obtain to construct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This exhibit is required only if the petition requests the right of eminent domain. This exhibit shall be in its final form prior to issuance of the official notice by the commission and approval of the eminent domain notice required by Iowa Code section </w:t>
      </w:r>
      <w:hyperlink r:id="rId19">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The exhibit shall consist of a map of the route showing the location of each property for which the right of eminent domain is sought, and for each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description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description of the desired easement.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specific description of the easement rights being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all electric lines and supports within the proposed easement, the location of and distance to any building within 100 feet of the proposed transmission line, and any other features pertinent to the location of the transmission line, the supporting structures, or to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and describing the good-faith effort undertaken and the review of land records performed to identify all affected persons for all parcels over which the electric company is seeking eminent domain. The affidavit shall be signed by an attorney representing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showing of notice to all persons identified in subparagraphs </w:t>
      </w:r>
      <w:hyperlink r:id="rId20">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21">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affidavit required by Iowa Code section </w:t>
      </w:r>
      <w:hyperlink r:id="rId22">
        <w:r>
          <w:rPr>
            <w:rStyle w:val="Hyperlink"/>
            <w:rFonts w:ascii="Times New Roman" w:hAnsi="Times New Roman"/>
            <w:b w:val="false"/>
            <w:i w:val="false"/>
            <w:color w:val="000000"/>
            <w:sz w:val="22"/>
          </w:rPr>
          <w:t>478.3(2)</w:t>
        </w:r>
      </w:hyperlink>
      <w:r>
        <w:rPr>
          <w:rFonts w:ascii="Times New Roman" w:hAnsi="Times New Roman"/>
          <w:b w:val="false"/>
          <w:i/>
          <w:color w:val="000000"/>
          <w:sz w:val="22"/>
        </w:rPr>
        <w:t>“c”</w:t>
      </w:r>
      <w:r>
        <w:rPr>
          <w:rFonts w:ascii="Times New Roman" w:hAnsi="Times New Roman"/>
          <w:b w:val="false"/>
          <w:i w:val="false"/>
          <w:color w:val="000000"/>
          <w:sz w:val="22"/>
        </w:rPr>
        <w:t xml:space="preserve"> on the holding of an informational meeting. Copies of the mailed notice letter and the published notice(s) of each informational meeting shall be attached to the affidavit. This exhibit is required only if an informational meeting was conducted.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 xml:space="preserve">The commission may require filing of additional exhibits if further information on a particular project is deemed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petition for a new franchise is filed with the commission, the commission shall prepare a notice addressed to the citizens of each county through which the transmission line or lines extend. The electric company shall cause this notice to be published in a newspaper of general circulation in each county for two consecutive weeks. Proof of publication shall be filed with the commission. This published notice shall constitute sufficient notice to all persons of the proceeding, except owners of record and persons in possession of land to be crossed for which voluntary easements have not been obtained at the time of the first publication of the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in addition to publishing notice, serve notice in writing of the filing of the petition on the affected persons over which easements have not been obtained. The served notices shall be by ordinary mail, addressed to the last-known address, mailed not later than the first day of publication of the official notice. One copy of each letter of notification, or one copy of the letter accompanied by a written statement listing all persons to which it was mailed and the date of mailing, shall be filed with the commission not later than five days after the date of second publication of the official notice. The electric company shall file a statement describing the action taken to ensure that the company has identified the names and addresses of all affected persons over which voluntary easements have not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paragraph need not be as detailed as the Exhibit B map but shall include at minimum the proposed route, section lines, section and township numbers, roads and railroads, city boundaries, and rivers and named bodies of water. A copy of this map shall be filed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and accompanied by a map showing the route of the proposed electric transmission line, to the persons identified in subparagraphs </w:t>
      </w:r>
      <w:hyperlink r:id="rId23">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24">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Eminent domain notice. </w:t>
      </w:r>
      <w:r>
        <w:rPr>
          <w:rFonts w:ascii="Times New Roman" w:hAnsi="Times New Roman"/>
          <w:b w:val="false"/>
          <w:i w:val="false"/>
          <w:color w:val="000000"/>
          <w:sz w:val="22"/>
        </w:rPr>
        <w:t xml:space="preserve">If an electric company is requesting the right of eminent domain over property as part of a petition for a new franchise, notice shall be provided pursuant to </w:t>
      </w:r>
      <w:hyperlink r:id="rId25">
        <w:r>
          <w:rPr>
            <w:rStyle w:val="Hyperlink"/>
            <w:rFonts w:ascii="Times New Roman" w:hAnsi="Times New Roman"/>
            <w:b w:val="false"/>
            <w:i w:val="false"/>
            <w:color w:val="000000"/>
            <w:sz w:val="22"/>
          </w:rPr>
          <w:t>subrule 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199—11.6</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an amendment to a franchise. </w:t>
      </w:r>
      <w:r>
        <w:rPr>
          <w:rFonts w:ascii="Times New Roman" w:hAnsi="Times New Roman"/>
          <w:b w:val="false"/>
          <w:i w:val="false"/>
          <w:color w:val="000000"/>
          <w:sz w:val="22"/>
        </w:rPr>
        <w:t xml:space="preserve">A petition for an amendment of a franchise shall include the same exhibits and information required for a new franchise as described in rule </w:t>
      </w:r>
      <w:hyperlink r:id="rId26">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 xml:space="preserve">(478). Prior to the filing of any petition for an amendment to a franchise where an electric company must obtain new or additional interests in real property for a total of one route mile or more, informational meetings shall be held which meet the requirements of </w:t>
      </w:r>
      <w:hyperlink r:id="rId27">
        <w:r>
          <w:rPr>
            <w:rStyle w:val="Hyperlink"/>
            <w:rFonts w:ascii="Times New Roman" w:hAnsi="Times New Roman"/>
            <w:b w:val="false"/>
            <w:i w:val="false"/>
            <w:color w:val="000000"/>
            <w:sz w:val="22"/>
          </w:rPr>
          <w:t>199—11.4</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amendment is required. A petition for amendment of a franchise shall be filed with the commission for approval when the electric company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Increasing the operating voltage of any electric line, the level to which it is capable of operating, or to a voltage greater than that specified in the existing franchise.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Constructing an additional line which is capable of operating at a nominal voltage of 69 kV or more on a previously franchised line, where an additional line at such voltage is not authorized by the existing franchise.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Relocating a franchised line to a route different from that authorized by an existing franchise, including the construction of tap(s) to a substation or switching station, which requires that new or additional interests in property be obtained, or that new or additional authorization be obtained from highway or railroad authorities, for a total distance of one route mile or more, or for any relocations where the right of eminent domain is sought. An amendment is not required for relocations made pursuant to Iowa Code section </w:t>
      </w:r>
      <w:hyperlink r:id="rId28">
        <w:r>
          <w:rPr>
            <w:rStyle w:val="Hyperlink"/>
            <w:rFonts w:ascii="Times New Roman" w:hAnsi="Times New Roman"/>
            <w:b w:val="false"/>
            <w:i w:val="false"/>
            <w:color w:val="000000"/>
            <w:sz w:val="22"/>
          </w:rPr>
          <w:t>318.9(2)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new transmission line is proposed in a county where the electric company has a countywide franchise for all of the electric company’s transmission lines in a county, the new transmission line will be included in the countywide franchise as an amendment to the countywide franchise.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existing franchise in a county is proposed to be combined with another existing franchise in a county, a petition for an amendment of the franchise with the latest expiration date shall be filed to combine the transmission lines into one of the existing franchises.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 franchise shall not be required for a voltage increase, additional circuit, or electric line relocation where such activity takes place entirely within the boundaries of property owned by an electric company or an end user.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petition for franchise amendment. Notice of a petition for an amendment to a franchise shall be the same notice that is required for a petition for a new franchise as described in rule </w:t>
      </w:r>
      <w:hyperlink r:id="rId29">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Eminent domain notice. If an electric company is requesting the right of eminent domain over property as part of a petition for amendment of a franchise, notice shall be provided pursuant to </w:t>
      </w:r>
      <w:hyperlink r:id="rId30">
        <w:r>
          <w:rPr>
            <w:rStyle w:val="Hyperlink"/>
            <w:rFonts w:ascii="Times New Roman" w:hAnsi="Times New Roman"/>
            <w:b w:val="false"/>
            <w:i w:val="false"/>
            <w:color w:val="000000"/>
            <w:sz w:val="22"/>
          </w:rPr>
          <w:t>subrule 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199—11.7</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the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abbreviated franchise process. </w:t>
      </w:r>
      <w:r>
        <w:rPr>
          <w:rFonts w:ascii="Times New Roman" w:hAnsi="Times New Roman"/>
          <w:b w:val="false"/>
          <w:i w:val="false"/>
          <w:color w:val="000000"/>
          <w:sz w:val="22"/>
        </w:rPr>
        <w:t xml:space="preserve">Petitions for an electric franchise or an amendment to a franchise may be filed pursuant to the abbreviated franchise process set forth in Iowa Code section </w:t>
      </w:r>
      <w:hyperlink r:id="rId31">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if the following requirements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consists of the conversion, upgrading, or reconstruction of an existing electric line operating at 34.5 kV to a line capable of operating at 69 kV.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will be on substantially the same right-of-way as an existing 34.5 kV line. For purposes of this subrule, “substantially the same right-of-way” means that the new or additional interests in private property right-of-way will be required for less than one mile of the proposed project length. Easements required for conductor and crossarm overhang of private property or for anchor easements shall not be considered when determining the length of additional interests in private property right-of-way.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will have substantially the same effect on the underlying properties as the existing 34.5 kV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transmission line will comply with the Iowa electrical safety code found in </w:t>
      </w:r>
      <w:hyperlink r:id="rId32">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 does not request the power of eminent domain.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company agrees to pay all costs and expenses of the franchise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Petition using abbreviated process. </w:t>
      </w:r>
      <w:r>
        <w:rPr>
          <w:rFonts w:ascii="Times New Roman" w:hAnsi="Times New Roman"/>
          <w:b w:val="false"/>
          <w:i w:val="false"/>
          <w:color w:val="000000"/>
          <w:sz w:val="22"/>
        </w:rPr>
        <w:t xml:space="preserve">A petition for a new franchise or an amendment to a franchise filed pursuant to the abbreviated franchise process set forth in Iowa Code section </w:t>
      </w:r>
      <w:hyperlink r:id="rId33">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shall be made on forms prescribed by the commission, shall be notarized, and shall have all required exhibits attached. Exhibits in addition to those required by this subrule may be attached when appropriate. The exhibits required to be attached are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 xml:space="preserve">A map showing the route of the transmission line drawn with reasonable accuracy considering the scale. The map may be to any scale appropriate for the level of detail to be shown but may not be smaller than one inch to the mile and must be legible when printed on paper no larger than 11 by 17 inches. The following minimum information shall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which is the subject of the petition, including the beginning point and endpoint and, when the transmission line is parallel to a road or railroad, the side on which the line is located.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county, county and section lines, section numbers, and township and range numbers.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and identity of roads, railroads, named streams and bodies of water, and any other pertinent natural or man-made features or landmarks influencing the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corporate limits of cities.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deviation from the existing route is proposed, the original and proposed routes shall be shown and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written text containing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any existing franchises that would be terminated or amended in whole or in part by this petition, including the docket number, franchise number, date of issue, county of location, and to whom the franchise is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allegation, with supporting testimony, that the project is eligible for the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allegation, with supporting testimony, that the project is necessary to serve a public use and represents a reasonable relationship to an overall plan of transmitting electricity in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for any deviations from the existing transmission line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regarding the availability of routes on an existing electric line right-of-way and an explanation of why this route was not selected.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A statement that the right of eminent domain is not being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exhibit shall consist of a showing of notice to other electric, pipeline, telephone, communication, cable television, rural water district, and railroad companies that have facilities which are crossed by or in shared right-of-way with the proposed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exhibit shall consist of the form of notice to be mailed in accordance with </w:t>
      </w:r>
      <w:hyperlink r:id="rId34">
        <w:r>
          <w:rPr>
            <w:rStyle w:val="Hyperlink"/>
            <w:rFonts w:ascii="Times New Roman" w:hAnsi="Times New Roman"/>
            <w:b w:val="false"/>
            <w:i w:val="false"/>
            <w:color w:val="000000"/>
            <w:sz w:val="22"/>
          </w:rPr>
          <w:t>subrule 11.7(3)</w:t>
        </w:r>
      </w:hyperlink>
      <w:r>
        <w:rPr>
          <w:rFonts w:ascii="Times New Roman" w:hAnsi="Times New Roman"/>
          <w:b w:val="false"/>
          <w:i w:val="false"/>
          <w:color w:val="000000"/>
          <w:sz w:val="22"/>
        </w:rPr>
        <w:t xml:space="preserve"> to owners of and persons in possession of or residing on property where construction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or amendment to franchise under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month prior to commencement of construction, an electric company shall provide written notice concerning the anticipated construction to the last-known address of the owners of record of the property where construction will occur and to persons in possession of or residing on such property. Notices may be served by ordinary mail, addressed to the last-known address of the owners of record of the property and to persons residing on such property. The electric company shall make a good-faith effort to identify and notify all owners of record and persons residing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purpose of the project and the nature of the work to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Exhibit B map.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dates the construction or reconstruction will commence and end.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telephone number, and email address of a representative of the electric company who can respond to inquiries concerning the anticipated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“construction” means physical entry onto private property by personnel or equipment for the purpose of rebuilding or reconstructing the transmission 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199—11.8</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extension of franchise.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an extension of a franchise shall be made on forms prescribed by the commission; shall be attested to by an officer, official, or attorney with authority to represent the electric company; and shall have all required exhibits attached. Exhibits in addition to those required by this rule may be attached when appropriate. For a transmission line that extends into more than one county, the electric company may file a petition to combine the separate county franchises into one franchise for the entire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 xml:space="preserve">A map showing the route of the transmission line drawn with reasonable accuracy considering the scale. The map may be to any scale appropriate for the level of detail to be shown but may not be smaller than one inch to the mile and must be legible when printed on paper no larger than 11 by 17 inches. The following minimum information shall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which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county, county and section lines, section numbers, and township and range numbers.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and identity of roads, railroads, named streams and bodies of water, and any other pertinent natural or man-made features or landmarks influencing the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corporate limits of cities.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a written text containing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all existing franchises for which extension in whole or in part is sought, including the docket number, franchise number, date of issue, county of location, and to whom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all amendments to the franchises listed in </w:t>
      </w:r>
      <w:hyperlink r:id="rId35">
        <w:r>
          <w:rPr>
            <w:rStyle w:val="Hyperlink"/>
            <w:rFonts w:ascii="Times New Roman" w:hAnsi="Times New Roman"/>
            <w:b w:val="false"/>
            <w:i w:val="false"/>
            <w:color w:val="000000"/>
            <w:sz w:val="22"/>
          </w:rPr>
          <w:t>subparagraph 11.8(1)</w:t>
        </w:r>
      </w:hyperlink>
      <w:r>
        <w:rPr>
          <w:rFonts w:ascii="Times New Roman" w:hAnsi="Times New Roman"/>
          <w:b w:val="false"/>
          <w:i/>
          <w:color w:val="000000"/>
          <w:sz w:val="22"/>
        </w:rPr>
        <w:t>“d”</w:t>
      </w:r>
      <w:r>
        <w:rPr>
          <w:rFonts w:ascii="Times New Roman" w:hAnsi="Times New Roman"/>
          <w:b w:val="false"/>
          <w:i w:val="false"/>
          <w:color w:val="000000"/>
          <w:sz w:val="22"/>
        </w:rPr>
        <w:t xml:space="preserve">(1), including the docket number, amendment number, date of issue, and purpose of the amendment.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substantial rebuilds, reconstructions, alterations, relocations, or changes in operation not included in a prior franchise or amendment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changes in ownership or operating and maintenance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allegation, with supporting testimony, that the transmission line remains necessary to serve a public use and represents a reasonable relationship to an overall plan of transmitting electricity in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or explanation in support of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Date for filing petition for extension. </w:t>
      </w:r>
      <w:r>
        <w:rPr>
          <w:rFonts w:ascii="Times New Roman" w:hAnsi="Times New Roman"/>
          <w:b w:val="false"/>
          <w:i w:val="false"/>
          <w:color w:val="000000"/>
          <w:sz w:val="22"/>
        </w:rPr>
        <w:t xml:space="preserve">A petition for an extension of a franchise shall be filed at least one year, and no more than five years, prior to expiration of the franchise. This requirement is not applicable to extensions of franchises that expire within one year of September 2, 2020. Extensions of existing countywide franchises are permitted; however, petitions to extend the franchises of separate transmission lines within a county by combining those transmission lines into a countywide franchise are not permitted using the franchise extension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When petition for extension unnecessary. </w:t>
      </w:r>
      <w:r>
        <w:rPr>
          <w:rFonts w:ascii="Times New Roman" w:hAnsi="Times New Roman"/>
          <w:b w:val="false"/>
          <w:i w:val="false"/>
          <w:color w:val="000000"/>
          <w:sz w:val="22"/>
        </w:rPr>
        <w:t xml:space="preserve">An extension of franchise is unnecessary for an electric line which is capable of operating at 69 kV or more when the electric line has been permanently retired from operation and the commission has been notified of the retirement. The notice to the commission shall include the franchise number and issue date, the docket number, and, if the entire franchised line is not retired, a map showing the location of the portion retired.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Petition for extension of countywide franchise. </w:t>
      </w:r>
      <w:r>
        <w:rPr>
          <w:rFonts w:ascii="Times New Roman" w:hAnsi="Times New Roman"/>
          <w:b w:val="false"/>
          <w:i w:val="false"/>
          <w:color w:val="000000"/>
          <w:sz w:val="22"/>
        </w:rPr>
        <w:t xml:space="preserve">A petition for an extension of a countywide franchise shall include all of the franchised lines owned by the electric company and within one county and a statement of whether the published notice will contain a legal description of the route or will include a telephone number and an address through which persons may request a map from the electric company at no cost. The map shall comply with the requirements in </w:t>
      </w:r>
      <w:hyperlink r:id="rId36">
        <w:r>
          <w:rPr>
            <w:rStyle w:val="Hyperlink"/>
            <w:rFonts w:ascii="Times New Roman" w:hAnsi="Times New Roman"/>
            <w:b w:val="false"/>
            <w:i w:val="false"/>
            <w:color w:val="000000"/>
            <w:sz w:val="22"/>
          </w:rPr>
          <w:t>subrule 11.8(6)</w:t>
        </w:r>
      </w:hyperlink>
      <w:r>
        <w:rPr>
          <w:rFonts w:ascii="Times New Roman" w:hAnsi="Times New Roman"/>
          <w:b w:val="false"/>
          <w:i w:val="false"/>
          <w:color w:val="000000"/>
          <w:sz w:val="22"/>
        </w:rPr>
        <w:t xml:space="preserve">. A copy of this map shall be filed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extension. </w:t>
      </w:r>
      <w:r>
        <w:rPr>
          <w:rFonts w:ascii="Times New Roman" w:hAnsi="Times New Roman"/>
          <w:b w:val="false"/>
          <w:i w:val="false"/>
          <w:color w:val="000000"/>
          <w:sz w:val="22"/>
        </w:rPr>
        <w:t>Whenever a petition for an extension of a franchise is filed with the commission, the commission shall prepare a notice addressed to the citizens of each county through which the transmission line or lines extend. The electric company shall cause this notice to be published for two consecutive weeks in a newspaper of general circulation in each county where the proposed line is to be located. Proof of publication shall be filed with the commission. This published notice shall constitute sufficient notice to all affected persons where the existing line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Maps in published notice. </w:t>
      </w:r>
      <w:r>
        <w:rPr>
          <w:rFonts w:ascii="Times New Roman" w:hAnsi="Times New Roman"/>
          <w:b w:val="false"/>
          <w:i w:val="false"/>
          <w:color w:val="000000"/>
          <w:sz w:val="22"/>
        </w:rPr>
        <w:t xml:space="preserve">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subrule need not be as detailed as the Exhibit B map but shall include at minimum the proposed route, section lines, section and township numbers, roads and railroads, city boundaries, and rivers and named bodies of water. A copy of this map shall be filed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accompanied by a map showing the route of the proposed transmission line, to the persons identified in subparagraphs </w:t>
      </w:r>
      <w:hyperlink r:id="rId37">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38">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199—11.9</w:t>
      </w:r>
      <w:r>
        <w:rPr>
          <w:rFonts w:ascii="Times New Roman" w:hAnsi="Times New Roman"/>
          <w:b/>
          <w:i w:val="false"/>
          <w:color w:val="000000"/>
          <w:sz w:val="22"/>
        </w:rPr>
        <w:t xml:space="preserve">(478)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An electric company shall use the appropriate form or forms available on the commission’s website when filing a petition, an amendment to an existing franchise, or an extension of an existing franchise. All filings shall be filed electronically in compliance with the commission’s electronic filing system requirements in </w:t>
      </w:r>
      <w:hyperlink r:id="rId3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shall be considered filed when accepted for filing into the commission’s electronic filing system pursuant to </w:t>
      </w:r>
      <w:hyperlink r:id="rId4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Temporary construction permits. </w:t>
      </w:r>
      <w:r>
        <w:rPr>
          <w:rFonts w:ascii="Times New Roman" w:hAnsi="Times New Roman"/>
          <w:b w:val="false"/>
          <w:i w:val="false"/>
          <w:color w:val="000000"/>
          <w:sz w:val="22"/>
        </w:rPr>
        <w:t xml:space="preserve">An electric company may request a temporary construction permit, as allowed by Iowa Code section </w:t>
      </w:r>
      <w:hyperlink r:id="rId41">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on the commission’s petition for franchise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Segmental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covering transmission line routes having segments of the total transmission line with different owners shall establish that the entire transmission line is necessary to serve a public use and represents a reasonable relationship to an overall plan of transmitting electricity in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covering transmission line routes having segments of the total transmission line with different owners shall include documentation showing that the different owners have agreed to the construction being proposed in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If review of Exhibit C, or inspection of an existing electric line which is the subject of a franchise petition, finds noncompliance with </w:t>
      </w:r>
      <w:hyperlink r:id="rId42">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the Iowa electrical safety code, no final action shall be taken by the commission on the petition without a satisfactory showing by the electric company that the areas of noncompliance have been or will be corrected. Any disputed safety code compliance issues will be resolved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Statement of damage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proposing transmission line construction shall not be acted upon by the commission if the electric company does not file with the commission a written statement as to how damages resulting from the construction of the transmission line shall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which will be compensated for, how the amount of damages will be determined, the procedures by which disputes may be resolved, the manner of payment, and the procedures that the affected persons are required to follow to obtain a determination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43">
        <w:r>
          <w:rPr>
            <w:rStyle w:val="Hyperlink"/>
            <w:rFonts w:ascii="Times New Roman" w:hAnsi="Times New Roman"/>
            <w:b w:val="false"/>
            <w:i w:val="false"/>
            <w:color w:val="000000"/>
            <w:sz w:val="22"/>
          </w:rPr>
          <w:t>478.2(3)</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electric company for terms which are different from, more specific than, or in addition to those in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w:t>
      </w:r>
      <w:r>
        <w:rPr>
          <w:rFonts w:ascii="Times New Roman" w:hAnsi="Times New Roman"/>
          <w:b w:val="false"/>
          <w:i w:val="false"/>
          <w:color w:val="000000"/>
          <w:sz w:val="22"/>
        </w:rPr>
        <w:t> </w:t>
      </w:r>
      <w:r>
        <w:rPr>
          <w:rFonts w:ascii="Times New Roman" w:hAnsi="Times New Roman"/>
          <w:b w:val="false"/>
          <w:i/>
          <w:color w:val="000000"/>
          <w:sz w:val="22"/>
        </w:rPr>
        <w:t xml:space="preserve">Route study. </w:t>
      </w:r>
      <w:r>
        <w:rPr>
          <w:rFonts w:ascii="Times New Roman" w:hAnsi="Times New Roman"/>
          <w:b w:val="false"/>
          <w:i w:val="false"/>
          <w:color w:val="000000"/>
          <w:sz w:val="22"/>
        </w:rPr>
        <w:t xml:space="preserve">If a hearing on a petition is required by Iowa Code section </w:t>
      </w:r>
      <w:hyperlink r:id="rId44">
        <w:r>
          <w:rPr>
            <w:rStyle w:val="Hyperlink"/>
            <w:rFonts w:ascii="Times New Roman" w:hAnsi="Times New Roman"/>
            <w:b w:val="false"/>
            <w:i w:val="false"/>
            <w:color w:val="000000"/>
            <w:sz w:val="22"/>
          </w:rPr>
          <w:t>478.6(1)</w:t>
        </w:r>
      </w:hyperlink>
      <w:r>
        <w:rPr>
          <w:rFonts w:ascii="Times New Roman" w:hAnsi="Times New Roman"/>
          <w:b w:val="false"/>
          <w:i w:val="false"/>
          <w:color w:val="000000"/>
          <w:sz w:val="22"/>
        </w:rPr>
        <w:t>, an electric company shall file a route study, if conducted, with the commission at the earlier of either the electric company’s next revised petition filing or its testimony in support of the petition after the commission orders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199—11.10</w:t>
      </w:r>
      <w:r>
        <w:rPr>
          <w:rFonts w:ascii="Times New Roman" w:hAnsi="Times New Roman"/>
          <w:b/>
          <w:i w:val="false"/>
          <w:color w:val="000000"/>
          <w:sz w:val="22"/>
        </w:rPr>
        <w:t xml:space="preserve">(478)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Notice of eminent domain proceedings. </w:t>
      </w:r>
      <w:r>
        <w:rPr>
          <w:rFonts w:ascii="Times New Roman" w:hAnsi="Times New Roman"/>
          <w:b w:val="false"/>
          <w:i w:val="false"/>
          <w:color w:val="000000"/>
          <w:sz w:val="22"/>
        </w:rPr>
        <w:t xml:space="preserve">If a petition for a franchise or amendment of franchise seeks the right of eminent domain, the electric company shall, in addition to publishing a notice of hearing, serve the written notice required by Iowa Code section </w:t>
      </w:r>
      <w:hyperlink r:id="rId45">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on the landowners and any affected person for all parcels over which eminent domain is sought. The eminent domain notice shall be filed with the commission for approval. Service shall be by certified U.S. mail, return receipt requested, and addressed to the person’s last-known address. This notice shall be mailed no later than the first day of publication of the official notice of hearing concerning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eminent domain proceedings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Exhibit E filed with the commission for the affected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route of the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eminent domain rights being sought over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time and location of the hearing and a description of the hearing procedures. The description of the hearing procedures shall include the website address for the commission’s electronic filing system and contact information of the commission’s customer service section.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individual rights required pursuant to Iowa Code section </w:t>
      </w:r>
      <w:hyperlink r:id="rId46">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five days prior to the date of hearing, the electric company shall file with the commission the return receipt for the certified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franchised line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after completion of a transmission line construction or reconstruction project authorized by a franchise or amendment to franchise, the holder of the franchise shall notify the commission in writing of the completion. The notice shall include the franchise and docket numbers and the date the franchise was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is not completed within two years after the date of issuance of the franchise or amendment to franchise, the electric company shall file a progress report regarding construction of the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construction of the transmission line authorized by a franchise has not commenced within two years of the date the franchise is granted, or within two years after final disposition of judicial review of a franchise order or of condemnation proceedings, the franchise shall be forfeited unless the electric company petitions the commission for an extension of time to commence construction. The commission may grant the extension if good cause is shown for the failure to commence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Notice of transfer or assignment of franchise. </w:t>
      </w:r>
      <w:r>
        <w:rPr>
          <w:rFonts w:ascii="Times New Roman" w:hAnsi="Times New Roman"/>
          <w:b w:val="false"/>
          <w:i w:val="false"/>
          <w:color w:val="000000"/>
          <w:sz w:val="22"/>
        </w:rPr>
        <w:t xml:space="preserve">The holder of a franchise shall notify the commission in writing, when transferring any franchise or portion of a franchise, stating the applicable franchise number and docket number which are affected and a description of the route of the transmission line when less than the total franchised line is affected, together with the name of the transferee and date of transfer, not more than 30 days after the effective date of the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Notice of construction not requiring an amendment to a franchise. </w:t>
      </w:r>
      <w:r>
        <w:rPr>
          <w:rFonts w:ascii="Times New Roman" w:hAnsi="Times New Roman"/>
          <w:b w:val="false"/>
          <w:i w:val="false"/>
          <w:color w:val="000000"/>
          <w:sz w:val="22"/>
        </w:rPr>
        <w:t xml:space="preserve">Whenever a transmission line under franchise is relocated or is reconstructed with different materials or specifications than those that appear on the most recent Exhibit C, or taps to a new substation or switching station are constructed along and connected to the franchised line in a manner that does not require an amendment to a franchise, the holder of the franchise shall notify the commission in writing of the construction, stating the franchise and docket numbers and date of franchise issuance for the affected transmission line, and providing revised Exhibits A, B, and C, as applicable, that reflect the changes in the route, not more than 30 days after the completion of the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color w:val="000000"/>
          <w:sz w:val="22"/>
        </w:rPr>
        <w:t xml:space="preserve">Notice of transmission line reconstruction not requiring an amendment to franchise.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5/17/23</w:t>
      </w:r>
      <w:r>
        <w:rPr>
          <w:rFonts w:ascii="Times New Roman" w:hAnsi="Times New Roman"/>
          <w:b w:val="false"/>
          <w:i w:val="false"/>
          <w:color w:val="000000"/>
          <w:sz w:val="22"/>
        </w:rPr>
        <w:t>, effective 6/21/23.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199—11.11</w:t>
      </w:r>
      <w:r>
        <w:rPr>
          <w:rFonts w:ascii="Times New Roman" w:hAnsi="Times New Roman"/>
          <w:b/>
          <w:i w:val="false"/>
          <w:color w:val="000000"/>
          <w:sz w:val="22"/>
        </w:rPr>
        <w:t xml:space="preserve">(478) </w:t>
      </w:r>
      <w:r>
        <w:rPr>
          <w:rFonts w:ascii="Times New Roman" w:hAnsi="Times New Roman"/>
          <w:b/>
          <w:i w:val="false"/>
          <w:color w:val="000000"/>
          <w:sz w:val="22"/>
        </w:rPr>
        <w:t xml:space="preserve">Common and joint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Common use construction. </w:t>
      </w:r>
      <w:r>
        <w:rPr>
          <w:rFonts w:ascii="Times New Roman" w:hAnsi="Times New Roman"/>
          <w:b w:val="false"/>
          <w:i w:val="false"/>
          <w:color w:val="000000"/>
          <w:sz w:val="22"/>
        </w:rPr>
        <w:t>Whenever an overhead electric line capable of operating at 69 kV or more is built or rebuilt on public road rights-of-way located outside of cities, all parallel overhead electric supply circuits on the same road right-of-way shall be attached to the same or common line of structures unless the commission authorizes, for good cause shown,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Relocating lines. </w:t>
      </w:r>
      <w:r>
        <w:rPr>
          <w:rFonts w:ascii="Times New Roman" w:hAnsi="Times New Roman"/>
          <w:b w:val="false"/>
          <w:i w:val="false"/>
          <w:color w:val="000000"/>
          <w:sz w:val="22"/>
        </w:rPr>
        <w:t xml:space="preserve">When a transmission line is to be constructed in a location occupied by an electric line or a communication line, the expense of relocating the existing line shall be borne by the electric company proposing the new transmission line. The electric company proposing the new transmission line shall not be required to pay any part of the used life of the existing line, but shall pay only the nonbetterment expense of relocating the existing line.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199—11.12</w:t>
      </w:r>
      <w:r>
        <w:rPr>
          <w:rFonts w:ascii="Times New Roman" w:hAnsi="Times New Roman"/>
          <w:b/>
          <w:i w:val="false"/>
          <w:color w:val="000000"/>
          <w:sz w:val="22"/>
        </w:rPr>
        <w:t xml:space="preserve">(478) </w:t>
      </w:r>
      <w:r>
        <w:rPr>
          <w:rFonts w:ascii="Times New Roman" w:hAnsi="Times New Roman"/>
          <w:b/>
          <w:i w:val="false"/>
          <w:color w:val="000000"/>
          <w:sz w:val="22"/>
        </w:rPr>
        <w:t xml:space="preserve">Termination of franchise petition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docket. </w:t>
      </w:r>
      <w:r>
        <w:rPr>
          <w:rFonts w:ascii="Times New Roman" w:hAnsi="Times New Roman"/>
          <w:b w:val="false"/>
          <w:i w:val="false"/>
          <w:color w:val="000000"/>
          <w:sz w:val="22"/>
        </w:rPr>
        <w:t xml:space="preserve">Upon written notice to the commission by an electric company that a franchise petition or petition for amendment of a franchise is withdrawn, the docket shall be closed.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Failure to respond. </w:t>
      </w:r>
      <w:r>
        <w:rPr>
          <w:rFonts w:ascii="Times New Roman" w:hAnsi="Times New Roman"/>
          <w:b w:val="false"/>
          <w:i w:val="false"/>
          <w:color w:val="000000"/>
          <w:sz w:val="22"/>
        </w:rPr>
        <w:t>If an electric company fails to respond to written notification by the commission, to correct an incomplete or deficient franchise petition, or to publish the official notice after the form of notice is provided by the commission, the commission may dismiss the petition as abandoned. If dismissal would cause an existing transmission line to be without a franchise, the commission may also pursue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199—11.13</w:t>
      </w:r>
      <w:r>
        <w:rPr>
          <w:rFonts w:ascii="Times New Roman" w:hAnsi="Times New Roman"/>
          <w:b/>
          <w:i w:val="false"/>
          <w:color w:val="000000"/>
          <w:sz w:val="22"/>
        </w:rPr>
        <w:t xml:space="preserve">(478)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 xml:space="preserve">The electric company shall pay the actual cost incurred by the commission attributable to the processing, investigation, and inspection related to a petition requesting an electric franchise, an amendment to an electric franchise, or an extension of an electric franchise.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199—11.14</w:t>
      </w:r>
      <w:r>
        <w:rPr>
          <w:rFonts w:ascii="Times New Roman" w:hAnsi="Times New Roman"/>
          <w:b/>
          <w:i w:val="false"/>
          <w:color w:val="000000"/>
          <w:sz w:val="22"/>
        </w:rPr>
        <w:t xml:space="preserve">(478) </w:t>
      </w:r>
      <w:r>
        <w:rPr>
          <w:rFonts w:ascii="Times New Roman" w:hAnsi="Times New Roman"/>
          <w:b/>
          <w:i w:val="false"/>
          <w:color w:val="000000"/>
          <w:sz w:val="22"/>
        </w:rPr>
        <w:t xml:space="preserve">Federally registered planning authority transmission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the requirements of Iowa Code section </w:t>
      </w:r>
      <w:hyperlink r:id="rId47">
        <w:r>
          <w:rPr>
            <w:rStyle w:val="Hyperlink"/>
            <w:rFonts w:ascii="Times New Roman" w:hAnsi="Times New Roman"/>
            <w:b w:val="false"/>
            <w:i w:val="false"/>
            <w:color w:val="000000"/>
            <w:sz w:val="22"/>
          </w:rPr>
          <w:t>478.16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rule, the following words and terms, when used in this rule,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transmission line” </w:t>
      </w:r>
      <w:r>
        <w:rPr>
          <w:rFonts w:ascii="Times New Roman" w:hAnsi="Times New Roman"/>
          <w:b w:val="false"/>
          <w:i w:val="false"/>
          <w:color w:val="000000"/>
          <w:sz w:val="22"/>
        </w:rPr>
        <w:t>means a high-voltage electric transmission line with a capacity of 100 kilovolts or more and any associated electric transmission facility, including any substation or other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transmission owner” </w:t>
      </w:r>
      <w:r>
        <w:rPr>
          <w:rFonts w:ascii="Times New Roman" w:hAnsi="Times New Roman"/>
          <w:b w:val="false"/>
          <w:i w:val="false"/>
          <w:color w:val="000000"/>
          <w:sz w:val="22"/>
        </w:rPr>
        <w:t>means an individual or entity who, as of July 1, 2020, owns and maintains an electric transmission line that is required for rate-regulated electric utilities, municipal electric utilities, and rural electric cooperatives in this state to provide electric service to the public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registered planning authority” </w:t>
      </w:r>
      <w:r>
        <w:rPr>
          <w:rFonts w:ascii="Times New Roman" w:hAnsi="Times New Roman"/>
          <w:b w:val="false"/>
          <w:i w:val="false"/>
          <w:color w:val="000000"/>
          <w:sz w:val="22"/>
        </w:rPr>
        <w:t>means any independent system operator or regional transmission organization approved by the Federal Energy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“Incumbent electric transmission owner”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public utility or a municipally owned utility that owns, operates, and maintains an electric transmission line 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electric cooperative corporation or association or municipally owned utility that owns an electric transmission facility in this state and has turned over the functional control of such facility to a federally approved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electric transmission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decision of incumbent transmission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approval of an electric transmission line, in a federally registered planning authority transmission plan, which connects to a transmission facility owned by an incumbent transmission line owner, the incumbent electric transmission owner shall notify the commission in writing within 90 days of its intent to construct, own, and maintain the approved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incumbent electric transmission owner does not intend to construct, own, or maintain an electric transmission line approved in a federally registered planning authority transmission plan, the incumbent electric transmission owner shall notify the commission in writing within 90 days of the date the federally registered planning authority approves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electric transmission line approved by a federally registered planning authority connects to two or more incumbent electric transmission owners’ facilities, all incumbent electric transmission owners shall notify the commission within 90 days of their intent to construct, own, and maintain the approved electric transmission line individually and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where two or more incumbent electric transmission owners may construct an electric transmission line approved by a federally registered planning authority but one incumbent electric transmission owner notifies the commission of its intent not to construct, own, or maintain the approved electric transmission line, the other incumbent electric transmission owner or owners shall notify the commission of their intent to construct the entire project within 90 days of federally registered planning authority’s approval of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Effect of incumbent’s decision to decline to construct. </w:t>
      </w:r>
      <w:r>
        <w:rPr>
          <w:rFonts w:ascii="Times New Roman" w:hAnsi="Times New Roman"/>
          <w:b w:val="false"/>
          <w:i w:val="false"/>
          <w:color w:val="000000"/>
          <w:sz w:val="22"/>
        </w:rPr>
        <w:t xml:space="preserve">Upon receipt by the commission of notice of the incumbent electric transmission owner’s intent not to construct, operate, or maintain the electric transmission line approved by a federally registered planning authority, or the failure of the incumbent electric transmission owner to provide such notice, the commission may issue a franchise to another person to construct the electric transmission line approved by a federally registered planning authority subject to the requirements of Iowa Code chapter </w:t>
      </w:r>
      <w:hyperlink r:id="rId4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Reports to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the issuance of a franchise, the electric transmission owner who is constructing, owning, and maintaining the electric transmission line approved by a federally registered planning authority shall file with the commission the estimated cost to construct the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Until construction of the electric transmission line approved by a federally registered planning authority is complete, the electric transmission owner who is constructing, owning, and maintaining the electric transmission line approved by a federally registered planning authority shall provide quarterly reports to the commission detailing the estimated cost to construct the electric transmission line approved by a federally registered planning authority. If the estimated cost to construct the electric transmission line approved by a federally registered planning authority changes from the last report, the electric transmission owner who is constructing, owning, and maintaining the electric transmission line approved by a federally registered planning authority shall provide an explanation as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commission rules. </w:t>
      </w:r>
      <w:r>
        <w:rPr>
          <w:rFonts w:ascii="Times New Roman" w:hAnsi="Times New Roman"/>
          <w:b w:val="false"/>
          <w:i w:val="false"/>
          <w:color w:val="000000"/>
          <w:sz w:val="22"/>
        </w:rPr>
        <w:t>Nothing in this rule shall modify or alter any other requirements established in this chapter of the commission’s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6266C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9">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7/4/51, amended 9/24/65, 12/14/65]</w:t>
      </w:r>
    </w:p>
    <w:p>
      <w:pPr>
        <w:spacing w:before="0" w:after="0"/>
        <w:ind w:left="120"/>
        <w:jc w:val="center"/>
      </w:pPr>
      <w:r>
        <w:rPr>
          <w:rFonts w:ascii="Times New Roman" w:hAnsi="Times New Roman"/>
          <w:b w:val="false"/>
          <w:i w:val="false"/>
          <w:color w:val="000000"/>
          <w:sz w:val="21"/>
        </w:rPr>
        <w:t>[Filed 10/8/75—published 10/20/75]</w:t>
      </w:r>
    </w:p>
    <w:p>
      <w:pPr>
        <w:spacing w:before="0" w:after="0"/>
        <w:ind w:left="120"/>
        <w:jc w:val="center"/>
      </w:pPr>
      <w:r>
        <w:rPr>
          <w:rFonts w:ascii="Times New Roman" w:hAnsi="Times New Roman"/>
          <w:b w:val="false"/>
          <w:i w:val="false"/>
          <w:color w:val="000000"/>
          <w:sz w:val="21"/>
        </w:rPr>
        <w:t>[Filed 8/6/76, Notice 4/5/76—published 8/23/76, effective 9/27/76]</w:t>
      </w:r>
    </w:p>
    <w:p>
      <w:pPr>
        <w:spacing w:before="0" w:after="0"/>
        <w:ind w:left="120"/>
        <w:jc w:val="center"/>
      </w:pPr>
      <w:r>
        <w:rPr>
          <w:rFonts w:ascii="Times New Roman" w:hAnsi="Times New Roman"/>
          <w:b w:val="false"/>
          <w:i w:val="false"/>
          <w:color w:val="000000"/>
          <w:sz w:val="21"/>
        </w:rPr>
        <w:t>[Filed 4/10/79, Notice 5/3/78, 8/23/78—published 5/2/79, effective 6/6/79]</w:t>
      </w:r>
    </w:p>
    <w:p>
      <w:pPr>
        <w:spacing w:before="0" w:after="0"/>
        <w:ind w:left="120"/>
        <w:jc w:val="center"/>
      </w:pPr>
      <w:r>
        <w:rPr>
          <w:rFonts w:ascii="Times New Roman" w:hAnsi="Times New Roman"/>
          <w:b w:val="false"/>
          <w:i w:val="false"/>
          <w:color w:val="000000"/>
          <w:sz w:val="21"/>
        </w:rPr>
        <w:t>[Filed 8/29/80, Notice 6/25/80—published 9/17/80, effective 10/22/80]</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10/5/84, Notice 7/18/84—published 10/24/84, effective 11/28/84]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7/1/93, Notice 12/9/92—published 7/21/93, effective 8/25/93]</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[Filed 3/20/98, Notice 10/22/97—published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8435B</w:t>
      </w:r>
      <w:r>
        <w:rPr>
          <w:rFonts w:ascii="Times New Roman" w:hAnsi="Times New Roman"/>
          <w:b w:val="false"/>
          <w:i w:val="false"/>
          <w:color w:val="000000"/>
          <w:sz w:val="21"/>
        </w:rPr>
        <w:t xml:space="preserve"> (Notice ARC 7859B, IAB 6/17/09; </w:t>
      </w:r>
      <w:r>
        <w:rPr>
          <w:rFonts w:ascii="Times New Roman" w:hAnsi="Times New Roman"/>
          <w:b w:val="false"/>
          <w:i w:val="false"/>
          <w:color w:val="000000"/>
          <w:sz w:val="21"/>
        </w:rPr>
        <w:t>Amended Notice ARC 8012B, IAB 7/29/09)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5121C</w:t>
      </w:r>
      <w:r>
        <w:rPr>
          <w:rFonts w:ascii="Times New Roman" w:hAnsi="Times New Roman"/>
          <w:b w:val="false"/>
          <w:i w:val="false"/>
          <w:color w:val="000000"/>
          <w:sz w:val="21"/>
        </w:rPr>
        <w:t xml:space="preserve"> (Notice ARC 4776C, IAB 11/20/19)</w:t>
      </w:r>
      <w:r>
        <w:rPr>
          <w:rFonts w:ascii="Times New Roman" w:hAnsi="Times New Roman"/>
          <w:b w:val="false"/>
          <w:i w:val="false"/>
          <w:color w:val="000000"/>
          <w:sz w:val="21"/>
        </w:rPr>
        <w:t>, IAB 7/29/20, effective 9/2/20]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5628C</w:t>
      </w:r>
      <w:r>
        <w:rPr>
          <w:rFonts w:ascii="Times New Roman" w:hAnsi="Times New Roman"/>
          <w:b w:val="false"/>
          <w:i w:val="false"/>
          <w:color w:val="000000"/>
          <w:sz w:val="21"/>
        </w:rPr>
        <w:t xml:space="preserve"> (Notice ARC 5217C, IAB 10/7/20)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6266C</w:t>
      </w:r>
      <w:r>
        <w:rPr>
          <w:rFonts w:ascii="Times New Roman" w:hAnsi="Times New Roman"/>
          <w:b w:val="false"/>
          <w:i w:val="false"/>
          <w:color w:val="000000"/>
          <w:sz w:val="21"/>
        </w:rPr>
        <w:t xml:space="preserve"> (Notice ARC 6016C, IAB 11/3/21)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7014C</w:t>
      </w:r>
      <w:r>
        <w:rPr>
          <w:rFonts w:ascii="Times New Roman" w:hAnsi="Times New Roman"/>
          <w:b w:val="false"/>
          <w:i w:val="false"/>
          <w:color w:val="000000"/>
          <w:sz w:val="21"/>
        </w:rPr>
        <w:t xml:space="preserve"> (Notice ARC 6918C, IAB 2/22/23)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p>
      <w:pPr>
        <w:pBdr>
          <w:bottom w:space="2"/>
        </w:pBdr>
        <w:spacing w:before="0" w:after="0"/>
        <w:ind w:left="120"/>
        <w:jc w:val="both"/>
      </w:pPr>
      <w:r>
        <w:rPr>
          <w:rFonts w:ascii="Times New Roman" w:hAnsi="Times New Roman"/>
          <w:b w:val="false"/>
          <w:i w:val="false"/>
          <w:color w:val="000000"/>
          <w:sz w:val="22"/>
        </w:rPr>
        <w:t>September 2, 2020, effective date of Chapter 11 [ARC 5121C] delayed 70 days by the Administrative Rules Review Committee at its meeting held August 11,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8.pdf" Type="http://schemas.openxmlformats.org/officeDocument/2006/relationships/hyperlink" Id="rId5"/>
    <Relationship TargetMode="External" Target="https://www.legis.iowa.gov/docs/iac/chapter/199.25.pdf" Type="http://schemas.openxmlformats.org/officeDocument/2006/relationships/hyperlink" Id="rId6"/>
    <Relationship TargetMode="External" Target="https://www.legis.iowa.gov/docs/iac/chapter/199.14.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478.18.pdf" Type="http://schemas.openxmlformats.org/officeDocument/2006/relationships/hyperlink" Id="rId9"/>
    <Relationship TargetMode="External" Target="https://www.legis.iowa.gov/docs/ico/chapter/478.18.pdf" Type="http://schemas.openxmlformats.org/officeDocument/2006/relationships/hyperlink" Id="rId10"/>
    <Relationship TargetMode="External" Target="https://www.legis.iowa.gov/docs/ico/chapter/478.20.pdf" Type="http://schemas.openxmlformats.org/officeDocument/2006/relationships/hyperlink" Id="rId11"/>
    <Relationship TargetMode="External" Target="https://www.legis.iowa.gov/docs/ico/chapter/478.20.pdf" Type="http://schemas.openxmlformats.org/officeDocument/2006/relationships/hyperlink" Id="rId12"/>
    <Relationship TargetMode="External" Target="https://www.legis.iowa.gov/docs/ico/chapter/478.31.pdf" Type="http://schemas.openxmlformats.org/officeDocument/2006/relationships/hyperlink" Id="rId13"/>
    <Relationship TargetMode="External" Target="https://www.legis.iowa.gov/docs/iac/rule/199.42.3.pdf" Type="http://schemas.openxmlformats.org/officeDocument/2006/relationships/hyperlink" Id="rId14"/>
    <Relationship TargetMode="External" Target="https://www.legis.iowa.gov/docs/ico/chapter/478.2.pdf" Type="http://schemas.openxmlformats.org/officeDocument/2006/relationships/hyperlink" Id="rId15"/>
    <Relationship TargetMode="External" Target="https://www.legis.iowa.gov/docs/iac/rule/199.11.9.pdf" Type="http://schemas.openxmlformats.org/officeDocument/2006/relationships/hyperlink" Id="rId16"/>
    <Relationship TargetMode="External" Target="https://www.legis.iowa.gov/docs/ico/chapter/357A.pdf" Type="http://schemas.openxmlformats.org/officeDocument/2006/relationships/hyperlink" Id="rId17"/>
    <Relationship TargetMode="External" Target="https://www.legis.iowa.gov/docs/ico/chapter/478.3.pdf" Type="http://schemas.openxmlformats.org/officeDocument/2006/relationships/hyperlink" Id="rId18"/>
    <Relationship TargetMode="External" Target="https://www.legis.iowa.gov/docs/ico/chapter/478.6.pdf" Type="http://schemas.openxmlformats.org/officeDocument/2006/relationships/hyperlink" Id="rId19"/>
    <Relationship TargetMode="External" Target="https://www.legis.iowa.gov/docs/iac/rule/199.11.5.pdf" Type="http://schemas.openxmlformats.org/officeDocument/2006/relationships/hyperlink" Id="rId20"/>
    <Relationship TargetMode="External" Target="https://www.legis.iowa.gov/docs/iac/rule/199.11.5.pdf" Type="http://schemas.openxmlformats.org/officeDocument/2006/relationships/hyperlink" Id="rId21"/>
    <Relationship TargetMode="External" Target="https://www.legis.iowa.gov/docs/ico/chapter/478.3.pdf" Type="http://schemas.openxmlformats.org/officeDocument/2006/relationships/hyperlink" Id="rId22"/>
    <Relationship TargetMode="External" Target="https://www.legis.iowa.gov/docs/iac/rule/199.11.5.pdf" Type="http://schemas.openxmlformats.org/officeDocument/2006/relationships/hyperlink" Id="rId23"/>
    <Relationship TargetMode="External" Target="https://www.legis.iowa.gov/docs/iac/rule/199.11.5.pdf" Type="http://schemas.openxmlformats.org/officeDocument/2006/relationships/hyperlink" Id="rId24"/>
    <Relationship TargetMode="External" Target="https://www.legis.iowa.gov/docs/iac/rule/199.11.10.pdf" Type="http://schemas.openxmlformats.org/officeDocument/2006/relationships/hyperlink" Id="rId25"/>
    <Relationship TargetMode="External" Target="https://www.legis.iowa.gov/docs/iac/rule/199.11.5.pdf" Type="http://schemas.openxmlformats.org/officeDocument/2006/relationships/hyperlink" Id="rId26"/>
    <Relationship TargetMode="External" Target="https://www.legis.iowa.gov/docs/iac/rule/199.11.4.pdf" Type="http://schemas.openxmlformats.org/officeDocument/2006/relationships/hyperlink" Id="rId27"/>
    <Relationship TargetMode="External" Target="https://www.legis.iowa.gov/docs/ico/chapter/318.9.pdf" Type="http://schemas.openxmlformats.org/officeDocument/2006/relationships/hyperlink" Id="rId28"/>
    <Relationship TargetMode="External" Target="https://www.legis.iowa.gov/docs/iac/rule/199.11.5.pdf" Type="http://schemas.openxmlformats.org/officeDocument/2006/relationships/hyperlink" Id="rId29"/>
    <Relationship TargetMode="External" Target="https://www.legis.iowa.gov/docs/iac/rule/199.11.10.pdf" Type="http://schemas.openxmlformats.org/officeDocument/2006/relationships/hyperlink" Id="rId30"/>
    <Relationship TargetMode="External" Target="https://www.legis.iowa.gov/docs/ico/chapter/478.1.pdf" Type="http://schemas.openxmlformats.org/officeDocument/2006/relationships/hyperlink" Id="rId31"/>
    <Relationship TargetMode="External" Target="https://www.legis.iowa.gov/docs/iac/chapter/199.25.pdf" Type="http://schemas.openxmlformats.org/officeDocument/2006/relationships/hyperlink" Id="rId32"/>
    <Relationship TargetMode="External" Target="https://www.legis.iowa.gov/docs/ico/chapter/478.1.pdf" Type="http://schemas.openxmlformats.org/officeDocument/2006/relationships/hyperlink" Id="rId33"/>
    <Relationship TargetMode="External" Target="https://www.legis.iowa.gov/docs/iac/rule/199.11.7.pdf" Type="http://schemas.openxmlformats.org/officeDocument/2006/relationships/hyperlink" Id="rId34"/>
    <Relationship TargetMode="External" Target="https://www.legis.iowa.gov/docs/iac/rule/199.11.8.pdf" Type="http://schemas.openxmlformats.org/officeDocument/2006/relationships/hyperlink" Id="rId35"/>
    <Relationship TargetMode="External" Target="https://www.legis.iowa.gov/docs/iac/rule/199.11.8.pdf" Type="http://schemas.openxmlformats.org/officeDocument/2006/relationships/hyperlink" Id="rId36"/>
    <Relationship TargetMode="External" Target="https://www.legis.iowa.gov/docs/iac/rule/199.11.5.pdf" Type="http://schemas.openxmlformats.org/officeDocument/2006/relationships/hyperlink" Id="rId37"/>
    <Relationship TargetMode="External" Target="https://www.legis.iowa.gov/docs/iac/rule/199.11.5.pdf" Type="http://schemas.openxmlformats.org/officeDocument/2006/relationships/hyperlink" Id="rId38"/>
    <Relationship TargetMode="External" Target="https://www.legis.iowa.gov/docs/iac/chapter/199.14.pdf" Type="http://schemas.openxmlformats.org/officeDocument/2006/relationships/hyperlink" Id="rId39"/>
    <Relationship TargetMode="External" Target="https://www.legis.iowa.gov/docs/iac/chapter/199.14.pdf" Type="http://schemas.openxmlformats.org/officeDocument/2006/relationships/hyperlink" Id="rId40"/>
    <Relationship TargetMode="External" Target="https://www.legis.iowa.gov/docs/ico/chapter/478.31.pdf" Type="http://schemas.openxmlformats.org/officeDocument/2006/relationships/hyperlink" Id="rId41"/>
    <Relationship TargetMode="External" Target="https://www.legis.iowa.gov/docs/iac/chapter/199.25.pdf" Type="http://schemas.openxmlformats.org/officeDocument/2006/relationships/hyperlink" Id="rId42"/>
    <Relationship TargetMode="External" Target="https://www.legis.iowa.gov/docs/ico/chapter/478.2.pdf" Type="http://schemas.openxmlformats.org/officeDocument/2006/relationships/hyperlink" Id="rId43"/>
    <Relationship TargetMode="External" Target="https://www.legis.iowa.gov/docs/ico/chapter/478.6.pdf" Type="http://schemas.openxmlformats.org/officeDocument/2006/relationships/hyperlink" Id="rId44"/>
    <Relationship TargetMode="External" Target="https://www.legis.iowa.gov/docs/ico/chapter/478.6.pdf" Type="http://schemas.openxmlformats.org/officeDocument/2006/relationships/hyperlink" Id="rId45"/>
    <Relationship TargetMode="External" Target="https://www.legis.iowa.gov/docs/ico/chapter/6B.2A.pdf" Type="http://schemas.openxmlformats.org/officeDocument/2006/relationships/hyperlink" Id="rId46"/>
    <Relationship TargetMode="External" Target="https://www.legis.iowa.gov/docs/ico/chapter/478.16.pdf" Type="http://schemas.openxmlformats.org/officeDocument/2006/relationships/hyperlink" Id="rId47"/>
    <Relationship TargetMode="External" Target="https://www.legis.iowa.gov/docs/ico/chapter/478.pdf" Type="http://schemas.openxmlformats.org/officeDocument/2006/relationships/hyperlink" Id="rId48"/>
    <Relationship TargetMode="External" Target="https://www.legis.iowa.gov/docs/ico/chapter/478.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