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DISCIPLINARY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193G—6.1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Investigative authority. </w:t>
      </w:r>
      <w:r>
        <w:rPr>
          <w:rFonts w:ascii="Times New Roman" w:hAnsi="Times New Roman"/>
          <w:b w:val="false"/>
          <w:i w:val="false"/>
          <w:color w:val="000000"/>
          <w:sz w:val="22"/>
        </w:rPr>
        <w:t xml:space="preserve">The board is authorized by Iowa Code sections </w:t>
      </w:r>
      <w:hyperlink r:id="rId5">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to conduct disciplinary investigations to determine whether grounds exist to initiate a disciplinary proceeding against a registrant.</w:t>
      </w:r>
    </w:p>
    <w:p>
      <w:pPr>
        <w:spacing w:before="210" w:after="0"/>
        <w:ind w:left="120"/>
        <w:jc w:val="both"/>
      </w:pPr>
      <w:r>
        <w:rPr>
          <w:rFonts w:ascii="Times New Roman" w:hAnsi="Times New Roman"/>
          <w:b/>
          <w:i w:val="false"/>
          <w:color w:val="000000"/>
          <w:sz w:val="22"/>
        </w:rPr>
        <w:t>193G—6.2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registrant disciplinary investigation upon the board’s receipt of information suggesting that a registrant may have violated a law or rule enforced by the board which violation, if true, would constitute grounds for registrant discipline. The board may also review the publicly available work product of a registrant on a general or random basis to determine whether reasonable grounds exist to initiate disciplinary proceedings or to conduct a more specific investigation.</w:t>
      </w:r>
    </w:p>
    <w:p>
      <w:pPr>
        <w:spacing w:before="0" w:after="0"/>
        <w:ind w:left="120"/>
        <w:jc w:val="both"/>
      </w:pPr>
      <w:r>
        <w:rPr>
          <w:rFonts w:ascii="Times New Roman" w:hAnsi="Times New Roman"/>
          <w:b/>
          <w:i w:val="false"/>
          <w:color w:val="000000"/>
          <w:sz w:val="22"/>
        </w:rPr>
        <w:t>193G—6.3</w:t>
      </w:r>
      <w:r>
        <w:rPr>
          <w:rFonts w:ascii="Times New Roman" w:hAnsi="Times New Roman"/>
          <w:b/>
          <w:i w:val="false"/>
          <w:color w:val="000000"/>
          <w:sz w:val="22"/>
        </w:rPr>
        <w:t xml:space="preserve">(272C,544C) </w:t>
      </w:r>
      <w:r>
        <w:rPr>
          <w:rFonts w:ascii="Times New Roman" w:hAnsi="Times New Roman"/>
          <w:b/>
          <w:i w:val="false"/>
          <w:color w:val="000000"/>
          <w:sz w:val="22"/>
        </w:rPr>
        <w:t xml:space="preserve">Sources of information. </w:t>
      </w:r>
      <w:r>
        <w:rPr>
          <w:rFonts w:ascii="Times New Roman" w:hAnsi="Times New Roman"/>
          <w:b w:val="false"/>
          <w:i w:val="false"/>
          <w:color w:val="000000"/>
          <w:sz w:val="22"/>
        </w:rPr>
        <w:t>Without limitation, the following nonexclusive list of information sources may form the basis for the initiation of a disciplinary investigation or proceeding: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or random review of publicly available work product.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News articles or other media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Reports filed with the board by the commissioner of insurance pursuant to Iowa Code section </w:t>
      </w:r>
      <w:hyperlink r:id="rId9">
        <w:r>
          <w:rPr>
            <w:rStyle w:val="Hyperlink"/>
            <w:rFonts w:ascii="Times New Roman" w:hAnsi="Times New Roman"/>
            <w:b w:val="false"/>
            <w:i w:val="false"/>
            <w:color w:val="000000"/>
            <w:sz w:val="22"/>
          </w:rPr>
          <w:t>272C.4(10)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Complaints filed with the board by any member of the public.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Registration applications or other documents submitted to the board.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Reports to the board from any regulatory or law enforcement agency from any jurisdiction.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Board audits of registrant compliance with conditions for registration, such as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193G—6.4</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shall abstain from participation in any consideration of the complaint and from participation in any disciplinary hearing that may result from the complaint.</w:t>
      </w:r>
    </w:p>
    <w:p>
      <w:pPr>
        <w:spacing w:before="0" w:after="0"/>
        <w:ind w:left="120"/>
        <w:jc w:val="both"/>
      </w:pPr>
      <w:r>
        <w:rPr>
          <w:rFonts w:ascii="Times New Roman" w:hAnsi="Times New Roman"/>
          <w:b/>
          <w:i w:val="false"/>
          <w:color w:val="000000"/>
          <w:sz w:val="22"/>
        </w:rPr>
        <w:t>193G—6.5</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board office by mail, E-mail, facsimile, or personal delivery by members of the public, including clients, business organizations, nonprofit organizations, governmental bodies, registrants, or other individuals or entities with knowledge of possible law or rule violations by registrants.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board which are available from the board office and on the board’s Web site. Written complaints, whether submitted on a board complaint form or in other written medium, may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(registrant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which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As provided by Iowa Code section </w:t>
      </w:r>
      <w:hyperlink r:id="rId10">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a person shall not be civilly liable as a result of filing a report or complaint with the board unless such act is done with malice, nor shall an employee be dismissed from employment or discriminated against by an employer for filing such a report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which may be initiated by the board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registrant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board shall be initially screened by the board’s executive officer to determine whether the allegations of the complaint fall within the board’s investigatory jurisdiction and whether the facts presented, if true, would constitute a basis for disciplinary action against a registrant. Complaints which are clearly outside the board’s jurisdiction, which clearly do not allege facts upon which disciplinary action would be based, or which are frivolous shall be referred by the board’s executive officer to the board for closure at the next scheduled board meeting. All other complaints shall be referred by the board’s executive officer to the board’s disciplinary committee for committee review as described in rule </w:t>
      </w:r>
      <w:hyperlink r:id="rId11">
        <w:r>
          <w:rPr>
            <w:rStyle w:val="Hyperlink"/>
            <w:rFonts w:ascii="Times New Roman" w:hAnsi="Times New Roman"/>
            <w:b w:val="false"/>
            <w:i w:val="false"/>
            <w:color w:val="000000"/>
            <w:sz w:val="22"/>
          </w:rPr>
          <w:t>193G—6.8</w:t>
        </w:r>
      </w:hyperlink>
      <w:r>
        <w:rPr>
          <w:rFonts w:ascii="Times New Roman" w:hAnsi="Times New Roman"/>
          <w:b w:val="false"/>
          <w:i w:val="false"/>
          <w:color w:val="000000"/>
          <w:sz w:val="22"/>
        </w:rPr>
        <w:t>(17A,272C,544C).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193G—6.6</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a written complaint received by the board or a complaint initiated by the board, all complaint files shall be tracked by a case numbering system. Complaints are assigned case numbers in chronological order with the first two digits representing the year in which the complaint was received or initiated, and the second two digits representing the order in which the case file was opened (e.g., 01-01, 01-02, 01-03, etc.). The board’s executive officer shall maintain a case file log noting the date each case file was opened, whether disciplinary proceedings were initiated in the case, and the final disposition of the case. Once a case file number is assigned to a complaint, all persons communicating with the board regarding that complaint are encouraged to include the case file number to facilitate accurate record keeping and a prompt response.</w:t>
      </w:r>
    </w:p>
    <w:p>
      <w:pPr>
        <w:spacing w:before="0" w:after="0"/>
        <w:ind w:left="120"/>
        <w:jc w:val="both"/>
      </w:pPr>
      <w:r>
        <w:rPr>
          <w:rFonts w:ascii="Times New Roman" w:hAnsi="Times New Roman"/>
          <w:b/>
          <w:i w:val="false"/>
          <w:color w:val="000000"/>
          <w:sz w:val="22"/>
        </w:rPr>
        <w:t>193G—6.7</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Confidentiality of complaint and investigative information. </w:t>
      </w:r>
      <w:r>
        <w:rPr>
          <w:rFonts w:ascii="Times New Roman" w:hAnsi="Times New Roman"/>
          <w:b w:val="false"/>
          <w:i w:val="false"/>
          <w:color w:val="000000"/>
          <w:sz w:val="22"/>
        </w:rPr>
        <w:t xml:space="preserve">All complaint and investigative information received or created by the board is privileged and confidential pursuant to Iowa Code section </w:t>
      </w:r>
      <w:hyperlink r:id="rId1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Such information shall not be released to any person except as provided in that section.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193G—6.8</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The board chairperson may annually appoint, as needed, two to three members of the board to serve on the board’s disciplinary committee to review and process disciplinary complaints. The disciplinary committee is a purely advisory body which shall review complaint files referred by the board administrator, generally supervise the investigation of complaints, and make recommendations to the full board on the disposition of complaints. Members of the committee shall not personally investigate complaints, but they may review the investigative work product of others in formulating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board’s executive officer or from the full board, the committee shall determine whether the complaint presents facts which, if true, suggest that a registrant may have violated a law or rule enforced by the board. If the committee concludes that the complaint does not present facts which suggest such a violation or that the complaint does not otherwise constitute an appropriate basis for disciplinary action, the committee shall refer the complaint to the full board with the recommendation that the complaint be closed with no further action. If the committee determines that the complaint does present a credible basis for disciplinary action, the committee may either immediately refer the complaint to the full board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 review committee, provide the registrant an opportunity to appear before the disciplinary committee for an informal discussion as described in rule </w:t>
      </w:r>
      <w:hyperlink r:id="rId13">
        <w:r>
          <w:rPr>
            <w:rStyle w:val="Hyperlink"/>
            <w:rFonts w:ascii="Times New Roman" w:hAnsi="Times New Roman"/>
            <w:b w:val="false"/>
            <w:i w:val="false"/>
            <w:color w:val="000000"/>
            <w:sz w:val="22"/>
          </w:rPr>
          <w:t>193G—6.9</w:t>
        </w:r>
      </w:hyperlink>
      <w:r>
        <w:rPr>
          <w:rFonts w:ascii="Times New Roman" w:hAnsi="Times New Roman"/>
          <w:b w:val="false"/>
          <w:i w:val="false"/>
          <w:color w:val="000000"/>
          <w:sz w:val="22"/>
        </w:rPr>
        <w:t>(17A,272C,544C), or request board staff to conduct further investigation. Upon completion of an investigation, the investigator, expert consultant, peer review committee or board staff shall present a report to the committee. The committee shall review the report and determine what further action is necessary. The committee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board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board has been violated, but that disciplinary action is unwarranted on other grounds, and refer the case to the full board with the recommendation of closure. The committee may also recommend that the registrant be informally cautioned or educated about matters which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refer the case to the full board with the recommendation that the board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Pursuant to Iowa Code subsections </w:t>
      </w:r>
      <w:hyperlink r:id="rId1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the board is authorized in connection with a disciplinary investigation to issue subpoenas to compel witnesses to testify or persons to produce books, papers, records and any other real evidence, whether or not privileged or confidential under law, which the board deems necessary as evidence in connection with a disciplinary proceeding or relevant to the decision of whether to initiate a disciplinary proceeding. Board procedures concerning investigatory subpoenas are set forth in </w:t>
      </w:r>
      <w:hyperlink r:id="rId16">
        <w:r>
          <w:rPr>
            <w:rStyle w:val="Hyperlink"/>
            <w:rFonts w:ascii="Times New Roman" w:hAnsi="Times New Roman"/>
            <w:b w:val="false"/>
            <w:i w:val="false"/>
            <w:color w:val="000000"/>
            <w:sz w:val="22"/>
          </w:rPr>
          <w:t>193—Chapter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193G—6.9</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registrant, the committee may grant the registrant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registrant an opportunity to share the registrant’s account of a complaint in an informal setting before the board determines whether probable cause exists to initiate a disciplinary proceeding. A registrant is not required to attend an informal discussion. Because disciplinary investigations are confidential, the registrant may not bring other persons to an informal discussion, but registrants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registrant,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board members to participate in board decision making and to receive the advice of staff, a registrant who desires to attend an informal discussion must therefore waive the right to seek disqualification of a board member or staff based solely on the board member’s or staff’s participation in an informal discussion. A registrant would not waive the right to seek disqualification on any other ground. By electing to attend an informal discussion, a registrant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board approval, may propose a consent order at the time of the informal discussion. If the registrant agrees to a consent order, a statement of charges shall be filed simultaneously with the consent order, as provided in rule </w:t>
      </w:r>
      <w:hyperlink r:id="rId17">
        <w:r>
          <w:rPr>
            <w:rStyle w:val="Hyperlink"/>
            <w:rFonts w:ascii="Times New Roman" w:hAnsi="Times New Roman"/>
            <w:b w:val="false"/>
            <w:i w:val="false"/>
            <w:color w:val="000000"/>
            <w:sz w:val="22"/>
          </w:rPr>
          <w:t>193—7.4</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i w:val="false"/>
          <w:color w:val="000000"/>
          <w:sz w:val="22"/>
        </w:rPr>
        <w:t>193G—6.10</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board’s executive officer pursuant to subrule </w:t>
      </w:r>
      <w:hyperlink r:id="rId18">
        <w:r>
          <w:rPr>
            <w:rStyle w:val="Hyperlink"/>
            <w:rFonts w:ascii="Times New Roman" w:hAnsi="Times New Roman"/>
            <w:b w:val="false"/>
            <w:i w:val="false"/>
            <w:color w:val="000000"/>
            <w:sz w:val="22"/>
          </w:rPr>
          <w:t>6.5(5)</w:t>
        </w:r>
      </w:hyperlink>
      <w:r>
        <w:rPr>
          <w:rFonts w:ascii="Times New Roman" w:hAnsi="Times New Roman"/>
          <w:b w:val="false"/>
          <w:i w:val="false"/>
          <w:color w:val="000000"/>
          <w:sz w:val="22"/>
        </w:rPr>
        <w:t xml:space="preserve">, the recommendation of the disciplinary committee pursuant to rule </w:t>
      </w:r>
      <w:hyperlink r:id="rId19">
        <w:r>
          <w:rPr>
            <w:rStyle w:val="Hyperlink"/>
            <w:rFonts w:ascii="Times New Roman" w:hAnsi="Times New Roman"/>
            <w:b w:val="false"/>
            <w:i w:val="false"/>
            <w:color w:val="000000"/>
            <w:sz w:val="22"/>
          </w:rPr>
          <w:t>193G—6.8</w:t>
        </w:r>
      </w:hyperlink>
      <w:r>
        <w:rPr>
          <w:rFonts w:ascii="Times New Roman" w:hAnsi="Times New Roman"/>
          <w:b w:val="false"/>
          <w:i w:val="false"/>
          <w:color w:val="000000"/>
          <w:sz w:val="22"/>
        </w:rPr>
        <w:t>(17A,272C,544C), or on its own motion, the board may close a complaint file, with or without prior investigation. The board’s decision is final and not eligible for judicial review. Given the broad scope of matters about which members of the public may complain, it is not possible to catalog all possible reasons why the board may close a complaint file. The following nonexclusive list is, however, illustrative of the grounds upon which the board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outside the board’s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does not allege a reasonable or credible basis to believe that the subject of the complaint violated a law or rule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is frivolous or trivial.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more appropriately resolved in a different forum, such as civil litigation to resolve a contract dispute, or more appropriately addressed by alternative procedures, such as outreach education or rule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matters raised in the complaint are situational, isolated, or unrepresentative of a registrant’s typical practice, and the registrant has taken appropriate steps to ensure future compliance and prevent public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Resources are unavailable or better directed to other complaints or board initiatives in light of the board’s overall budget and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extenuating factors weigh against the imposition of public discipline when considered in the context of the board’s purpose and 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registrant when a complaint file is closed which informally cautions or educates the registrant about matters which could form the basis for disciplinary action in the future if corrective action is not taken by the registrant. Cautionary letters do not constitute disciplinary action, but the board may take such letters into consideration in the future if a registrant continues a practice about which the registrant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which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5/15/07, Notice 3/28/07—published 6/6/07, effective 7/11/07]</w:t>
      </w:r>
    </w:p>
    <w:p>
      <w:pPr>
        <w:spacing w:before="0" w:after="0"/>
        <w:ind w:left="120"/>
        <w:jc w:val="center"/>
      </w:pPr>
      <w:r>
        <w:rPr>
          <w:rFonts w:ascii="Times New Roman" w:hAnsi="Times New Roman"/>
          <w:b w:val="false"/>
          <w:i w:val="false"/>
          <w:color w:val="000000"/>
          <w:sz w:val="21"/>
        </w:rPr>
        <w:t>[Filed ARC 3024C</w:t>
      </w:r>
      <w:r>
        <w:rPr>
          <w:rFonts w:ascii="Times New Roman" w:hAnsi="Times New Roman"/>
          <w:b w:val="false"/>
          <w:i w:val="false"/>
          <w:color w:val="000000"/>
          <w:sz w:val="21"/>
        </w:rPr>
        <w:t xml:space="preserve"> (Notice ARC 2797C, IAB 11/9/16)</w:t>
      </w:r>
      <w:r>
        <w:rPr>
          <w:rFonts w:ascii="Times New Roman" w:hAnsi="Times New Roman"/>
          <w:b w:val="false"/>
          <w:i w:val="false"/>
          <w:color w:val="000000"/>
          <w:sz w:val="21"/>
        </w:rPr>
        <w:t>, IAB 4/12/17, effective 5/17/17]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3.pdf" Type="http://schemas.openxmlformats.org/officeDocument/2006/relationships/hyperlink" Id="rId5"/>
    <Relationship TargetMode="External" Target="https://www.legis.iowa.gov/docs/ico/chapter/272C.3.pdf" Type="http://schemas.openxmlformats.org/officeDocument/2006/relationships/hyperlink" Id="rId6"/>
    <Relationship TargetMode="External" Target="https://www.legis.iowa.gov/docs/ico/chapter/272C.4.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272C.4.pdf" Type="http://schemas.openxmlformats.org/officeDocument/2006/relationships/hyperlink" Id="rId9"/>
    <Relationship TargetMode="External" Target="https://www.legis.iowa.gov/docs/ico/chapter/272C.8.pdf" Type="http://schemas.openxmlformats.org/officeDocument/2006/relationships/hyperlink" Id="rId10"/>
    <Relationship TargetMode="External" Target="https://www.legis.iowa.gov/docs/iac/rule/193G.6.8.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ac/rule/193G.6.9.pdf" Type="http://schemas.openxmlformats.org/officeDocument/2006/relationships/hyperlink" Id="rId13"/>
    <Relationship TargetMode="External" Target="https://www.legis.iowa.gov/docs/ico/chapter/17A.13.pdf" Type="http://schemas.openxmlformats.org/officeDocument/2006/relationships/hyperlink" Id="rId14"/>
    <Relationship TargetMode="External" Target="https://www.legis.iowa.gov/docs/ico/chapter/272C.6.pdf" Type="http://schemas.openxmlformats.org/officeDocument/2006/relationships/hyperlink" Id="rId15"/>
    <Relationship TargetMode="External" Target="https://www.legis.iowa.gov/docs/iac/chapter/193.6.pdf" Type="http://schemas.openxmlformats.org/officeDocument/2006/relationships/hyperlink" Id="rId16"/>
    <Relationship TargetMode="External" Target="https://www.legis.iowa.gov/docs/iac/rule/193.7.4.pdf" Type="http://schemas.openxmlformats.org/officeDocument/2006/relationships/hyperlink" Id="rId17"/>
    <Relationship TargetMode="External" Target="https://www.legis.iowa.gov/docs/iac/rule/193G.6.5.pdf" Type="http://schemas.openxmlformats.org/officeDocument/2006/relationships/hyperlink" Id="rId18"/>
    <Relationship TargetMode="External" Target="https://www.legis.iowa.gov/docs/iac/rule/193G.6.8.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544C.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