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DISCIPLINARY AUTHORITY AND GROUNDS FOR DISCIPLINE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193G—5.1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 xml:space="preserve">The board is empowered to administer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related administrative rules for the protection and well-being of those persons who may rely upon registered individuals for the performance of interior design services within this state or for clients in this state. To perform these functions, the board is broadly vested with authority to review and investigate alleged acts or omissions of registrants, determine whether disciplinary proceedings are warranted, initiate and prosecute disciplinary proceedings, establish standards of professional conduct, and impose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registered interior designer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violation of any of the rules of professional conduct set forth in </w:t>
      </w:r>
      <w:hyperlink r:id="rId8">
        <w:r>
          <w:rPr>
            <w:rStyle w:val="Hyperlink"/>
            <w:rFonts w:ascii="Times New Roman" w:hAnsi="Times New Roman"/>
            <w:b w:val="false"/>
            <w:i w:val="false"/>
            <w:color w:val="000000"/>
            <w:sz w:val="22"/>
          </w:rPr>
          <w:t>193G—Chapter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violation of Iowa Code section </w:t>
      </w:r>
      <w:hyperlink r:id="rId9">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comply with an order of the board imposing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Continuing to practice as a registered interior designer without satisfying the continuing education requirement, absent express waiver granted by the board.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fully cooperate with a registrant disciplinary investigation or investigation against a nonregistrant, including failure to respond to a board inquiry within 30 calendar days of the date of mailing by certified mail of a written communication directed to the registrant’s last address on file at the board office.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violation of Iowa Code section </w:t>
      </w:r>
      <w:hyperlink r:id="rId11">
        <w:r>
          <w:rPr>
            <w:rStyle w:val="Hyperlink"/>
            <w:rFonts w:ascii="Times New Roman" w:hAnsi="Times New Roman"/>
            <w:b w:val="false"/>
            <w:i w:val="false"/>
            <w:color w:val="000000"/>
            <w:sz w:val="22"/>
          </w:rPr>
          <w:t>544C.9</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3024C</w:t>
      </w:r>
      <w:r>
        <w:rPr>
          <w:rFonts w:ascii="Times New Roman" w:hAnsi="Times New Roman"/>
          <w:b w:val="false"/>
          <w:i w:val="false"/>
          <w:color w:val="000000"/>
          <w:sz w:val="21"/>
        </w:rPr>
        <w:t xml:space="preserve"> (Notice ARC 2797C, IAB 11/9/16)</w:t>
      </w:r>
      <w:r>
        <w:rPr>
          <w:rFonts w:ascii="Times New Roman" w:hAnsi="Times New Roman"/>
          <w:b w:val="false"/>
          <w:i w:val="false"/>
          <w:color w:val="000000"/>
          <w:sz w:val="21"/>
        </w:rPr>
        <w:t>, IAB 4/12/17, effective 5/17/17]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544C.pdf" Type="http://schemas.openxmlformats.org/officeDocument/2006/relationships/hyperlink" Id="rId7"/>
    <Relationship TargetMode="External" Target="https://www.legis.iowa.gov/docs/iac/chapter/193G.4.pdf" Type="http://schemas.openxmlformats.org/officeDocument/2006/relationships/hyperlink" Id="rId8"/>
    <Relationship TargetMode="External" Target="https://www.legis.iowa.gov/docs/ico/chapter/272C.9.pdf" Type="http://schemas.openxmlformats.org/officeDocument/2006/relationships/hyperlink" Id="rId9"/>
    <Relationship TargetMode="External" Target="https://www.legis.iowa.gov/docs/ico/chapter/272C.9.pdf" Type="http://schemas.openxmlformats.org/officeDocument/2006/relationships/hyperlink" Id="rId10"/>
    <Relationship TargetMode="External" Target="https://www.legis.iowa.gov/docs/ico/chapter/544C.9.pdf" Type="http://schemas.openxmlformats.org/officeDocument/2006/relationships/hyperlink" Id="rId11"/>
    <Relationship TargetMode="External" Target="https://www.legis.iowa.gov/docs/ico/chapter/272C.10.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544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