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REGISTRATION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193G—2.1</w:t>
      </w:r>
      <w:r>
        <w:rPr>
          <w:rFonts w:ascii="Times New Roman" w:hAnsi="Times New Roman"/>
          <w:b/>
          <w:i w:val="false"/>
          <w:color w:val="000000"/>
          <w:sz w:val="22"/>
        </w:rPr>
        <w:t xml:space="preserve">(544C) </w:t>
      </w:r>
      <w:r>
        <w:rPr>
          <w:rFonts w:ascii="Times New Roman" w:hAnsi="Times New Roman"/>
          <w:b/>
          <w:i w:val="false"/>
          <w:color w:val="000000"/>
          <w:sz w:val="22"/>
        </w:rPr>
        <w:t xml:space="preserve">Certificate of registration. </w:t>
      </w:r>
      <w:r>
        <w:rPr>
          <w:rFonts w:ascii="Times New Roman" w:hAnsi="Times New Roman"/>
          <w:b w:val="false"/>
          <w:i w:val="false"/>
          <w:color w:val="000000"/>
          <w:sz w:val="22"/>
        </w:rPr>
        <w:t>All applicants for registration must complete a board-approved application and satisfy the interior design education, practical training, examination, and fee requirements established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color w:val="000000"/>
          <w:sz w:val="22"/>
        </w:rPr>
        <w:t xml:space="preserve">Education and practical training. </w:t>
      </w:r>
      <w:r>
        <w:rPr>
          <w:rFonts w:ascii="Times New Roman" w:hAnsi="Times New Roman"/>
          <w:b w:val="false"/>
          <w:i w:val="false"/>
          <w:color w:val="000000"/>
          <w:sz w:val="22"/>
        </w:rPr>
        <w:t>An applicant for registration shall meet or exceed one of the following interior design education/practical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baccalaureate degree from a four-year interior design program or a substantially equivalent program, and at least two years of acceptable full-time work experience in the performance of interior design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degree or diploma from a three-year interior design program or a substantially equivalent program, and at least three years of acceptable full-time work experience in the performance of interior design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certificate, degree or diploma from a two-year interior design program or a substantially equivalent program, and at least four years of acceptable full-time work experience in the performance of interior design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An applicant for registration shall verify successful completion of the NCIDQ examination,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The board may also grant registration by reciprocity. An applicant applying to the board for registration by reciprocity shall furnish satisfactory evidence that the applicant meets both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 valid registration or license issued by another registration authority recognized by the board where the qualifications for registration or licensure were substantially equivalent to those prescribed in this state on the date of original registration or licensure with the other registration authority. The applicant must obtain a letter of good standing or complete a form stating that the applicant is in good standing from all jurisdictional licensing boards with which the applicant holds an active registration. The letter or form must bear the seal of the jurisdictional licensing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Holds a current certificate number issued by the NCIDQ.</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9480B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i w:val="false"/>
          <w:color w:val="000000"/>
          <w:sz w:val="16"/>
        </w:rPr>
        <w:t>ARC 1431C</w:t>
      </w:r>
      <w:r>
        <w:rPr>
          <w:rFonts w:ascii="Times New Roman" w:hAnsi="Times New Roman"/>
          <w:b w:val="false"/>
          <w:i w:val="false"/>
          <w:color w:val="000000"/>
          <w:sz w:val="16"/>
        </w:rPr>
        <w:t>, IAB 4/30/14, effective 6/4/14</w:t>
      </w:r>
      <w:r>
        <w:rPr>
          <w:rFonts w:ascii="Times New Roman" w:hAnsi="Times New Roman"/>
          <w:b w:val="false"/>
          <w:i w:val="false"/>
          <w:color w:val="000000"/>
          <w:sz w:val="16"/>
        </w:rPr>
        <w:t xml:space="preserve">; </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193G—2.2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Renewal of certificates of registration. </w:t>
      </w:r>
      <w:r>
        <w:rPr>
          <w:rFonts w:ascii="Times New Roman" w:hAnsi="Times New Roman"/>
          <w:b w:val="false"/>
          <w:i w:val="false"/>
          <w:color w:val="000000"/>
          <w:sz w:val="22"/>
        </w:rPr>
        <w:t xml:space="preserve">Certificates of registration expire biennially on June 30. Certificates issued to registrants with last names beginning with A through K shall expire on June 30 of even-numbered years and certificates issued to registrants with last names beginning with L through Z shall expire on June 30 of odd-numbered years. However, a registration issued on or after May 1 but before June 30 will not expire until June 30 of the next renewal. For example, a license issued on May 17, 2020, would not expire until June 30, 2022. In order to maintain authorization to practice in Iowa, a registrant is required to renew the certificate of registration prior to June 1 of the year of expiration. However, the board will accept an otherwise sufficient renewal application which is untimely if the board receives the application and late fee of $25 within 30 days prior to the date of expiration. A registrant who fails to renew by the expiration date is not authorized to use the title of registered interior designer in Iowa until the certificate is reinstated as provided in rule </w:t>
      </w:r>
      <w:hyperlink r:id="rId5">
        <w:r>
          <w:rPr>
            <w:rStyle w:val="Hyperlink"/>
            <w:rFonts w:ascii="Times New Roman" w:hAnsi="Times New Roman"/>
            <w:b w:val="false"/>
            <w:i w:val="false"/>
            <w:color w:val="000000"/>
            <w:sz w:val="22"/>
          </w:rPr>
          <w:t>193G—2.3</w:t>
        </w:r>
      </w:hyperlink>
      <w:r>
        <w:rPr>
          <w:rFonts w:ascii="Times New Roman" w:hAnsi="Times New Roman"/>
          <w:b w:val="false"/>
          <w:i w:val="false"/>
          <w:color w:val="000000"/>
          <w:sz w:val="22"/>
        </w:rPr>
        <w:t>(544C,17A).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send to each registrant at the registrant’s last-known address a notice of the pending expiration date. Failure to receive this notice does not relieve the registrant of the responsibility to timely renew the certificate and pay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shall send written notification to the applicant by restricted certified mail, return receipt requested. Grounds may exist to deny an application to renew if, for instance, the registrant failed to satisfy the continuing education provisions required as a condition for registration. If the basis for denial is a pending disciplinary action or disciplinary investigation that is reasonably expected to culminate in disciplinary action, the board shall proceed as provided in </w:t>
      </w:r>
      <w:hyperlink r:id="rId6">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7">
        <w:r>
          <w:rPr>
            <w:rStyle w:val="Hyperlink"/>
            <w:rFonts w:ascii="Times New Roman" w:hAnsi="Times New Roman"/>
            <w:b w:val="false"/>
            <w:i w:val="false"/>
            <w:color w:val="000000"/>
            <w:sz w:val="22"/>
          </w:rPr>
          <w:t>193—subrule 7.40(1)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registrant appears to be in violation of mandatory continuing education requirements, the board may, in lieu of proceeding to a contested case hearing on the denial of a renewal application as provided in rule </w:t>
      </w:r>
      <w:hyperlink r:id="rId8">
        <w:r>
          <w:rPr>
            <w:rStyle w:val="Hyperlink"/>
            <w:rFonts w:ascii="Times New Roman" w:hAnsi="Times New Roman"/>
            <w:b w:val="false"/>
            <w:i w:val="false"/>
            <w:color w:val="000000"/>
            <w:sz w:val="22"/>
          </w:rPr>
          <w:t>193—7.40</w:t>
        </w:r>
      </w:hyperlink>
      <w:r>
        <w:rPr>
          <w:rFonts w:ascii="Times New Roman" w:hAnsi="Times New Roman"/>
          <w:b w:val="false"/>
          <w:i w:val="false"/>
          <w:color w:val="000000"/>
          <w:sz w:val="22"/>
        </w:rPr>
        <w:t xml:space="preserve">(546,272C), and after or in lieu of giving the licensee an opportunity to come into compliance under rule </w:t>
      </w:r>
      <w:hyperlink r:id="rId9">
        <w:r>
          <w:rPr>
            <w:rStyle w:val="Hyperlink"/>
            <w:rFonts w:ascii="Times New Roman" w:hAnsi="Times New Roman"/>
            <w:b w:val="false"/>
            <w:i w:val="false"/>
            <w:color w:val="000000"/>
            <w:sz w:val="22"/>
          </w:rPr>
          <w:t>193G—3.4</w:t>
        </w:r>
      </w:hyperlink>
      <w:r>
        <w:rPr>
          <w:rFonts w:ascii="Times New Roman" w:hAnsi="Times New Roman"/>
          <w:b w:val="false"/>
          <w:i w:val="false"/>
          <w:color w:val="000000"/>
          <w:sz w:val="22"/>
        </w:rPr>
        <w:t xml:space="preserve">(17A,544C), offer a registrant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registrant complete hours equal to double the deficiency in addition to the required hours; and may impose additional educational requirements on the registrant. Any additional hours of continuing education completed in compliance with the consent order cannot again be claimed at the next renewal. The board will address subsequent offenses on a case-by-case basis. A registrant is free to accept or reject the offer. If the offer of settlement is accepted, the registrant will be issued a renewed certificate of registration and will be subject to disciplinary action if the terms of the consent order are not fulfilled. If the offer of settlement is rejected, the matter will be set for hearing, if timely requested by the registrant pursuant to </w:t>
      </w:r>
      <w:hyperlink r:id="rId10">
        <w:r>
          <w:rPr>
            <w:rStyle w:val="Hyperlink"/>
            <w:rFonts w:ascii="Times New Roman" w:hAnsi="Times New Roman"/>
            <w:b w:val="false"/>
            <w:i w:val="false"/>
            <w:color w:val="000000"/>
            <w:sz w:val="22"/>
          </w:rPr>
          <w:t>193—subrule 7.40(1)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val="false"/>
          <w:color w:val="000000"/>
          <w:sz w:val="22"/>
        </w:rPr>
        <w:t>A registrant who continues to use the title of registered interior designer in Iowa after the registration has expired may be subject to disciplinary action. Such unauthorized activity may also be grounds to deny a registrant’s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w:t>
      </w:r>
      <w:r>
        <w:rPr>
          <w:rFonts w:ascii="Times New Roman" w:hAnsi="Times New Roman"/>
          <w:b w:val="false"/>
          <w:i w:val="false"/>
          <w:color w:val="000000"/>
          <w:sz w:val="22"/>
        </w:rPr>
        <w:t> </w:t>
      </w:r>
      <w:r>
        <w:rPr>
          <w:rFonts w:ascii="Times New Roman" w:hAnsi="Times New Roman"/>
          <w:b w:val="false"/>
          <w:i w:val="false"/>
          <w:color w:val="000000"/>
          <w:sz w:val="22"/>
        </w:rPr>
        <w:t>Registrants shall notify the board within 30 days of any change of address or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4011C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5568C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193G—2.3</w:t>
      </w:r>
      <w:r>
        <w:rPr>
          <w:rFonts w:ascii="Times New Roman" w:hAnsi="Times New Roman"/>
          <w:b/>
          <w:i w:val="false"/>
          <w:color w:val="000000"/>
          <w:sz w:val="22"/>
        </w:rPr>
        <w:t xml:space="preserve">(544C,17A) </w:t>
      </w:r>
      <w:r>
        <w:rPr>
          <w:rFonts w:ascii="Times New Roman" w:hAnsi="Times New Roman"/>
          <w:b/>
          <w:i w:val="false"/>
          <w:color w:val="000000"/>
          <w:sz w:val="22"/>
        </w:rPr>
        <w:t xml:space="preserve">Reinstatement of certificates of registration. </w:t>
      </w:r>
      <w:r>
        <w:rPr>
          <w:rFonts w:ascii="Times New Roman" w:hAnsi="Times New Roman"/>
          <w:b w:val="false"/>
          <w:i w:val="false"/>
          <w:color w:val="000000"/>
          <w:sz w:val="22"/>
        </w:rPr>
        <w:t>An individual may reinstate a lapsed certificate of registration to active registration by doing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Paying the current renewal fee;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Paying the reinstatement fee of $100;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a written statement outlining the professional activities that the applicant performed in Iowa during the period of nonregistration. The statement shall include a list of all projects with which the applicant had involvement and shall explain the service provided by the applicant;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Submitting documented evidence of completion of 10 continuing education hours, which should have been reported on the June 30 renewal date on which the applicant failed to renew, and 5 continuing education hours for each year or portion of a year of expired registration up to a maximum of 20 continuing education hours. All continuing education hours must be completed in health, safety, and welfare subjects; be acquired in structured educational activities; and be in compliance with requirements in </w:t>
      </w:r>
      <w:hyperlink r:id="rId11">
        <w:r>
          <w:rPr>
            <w:rStyle w:val="Hyperlink"/>
            <w:rFonts w:ascii="Times New Roman" w:hAnsi="Times New Roman"/>
            <w:b w:val="false"/>
            <w:i w:val="false"/>
            <w:color w:val="000000"/>
            <w:sz w:val="22"/>
          </w:rPr>
          <w:t>193G—Chapter 3</w:t>
        </w:r>
      </w:hyperlink>
      <w:r>
        <w:rPr>
          <w:rFonts w:ascii="Times New Roman" w:hAnsi="Times New Roman"/>
          <w:b w:val="false"/>
          <w:i w:val="false"/>
          <w:color w:val="000000"/>
          <w:sz w:val="22"/>
        </w:rPr>
        <w:t>. The continuing education hours used for reinstatement may not be used again at the next renewal and shall not have been earned more than four years prior to the date of the application to reinstate.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4011C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193G—2.4</w:t>
      </w:r>
      <w:r>
        <w:rPr>
          <w:rFonts w:ascii="Times New Roman" w:hAnsi="Times New Roman"/>
          <w:b/>
          <w:i w:val="false"/>
          <w:color w:val="000000"/>
          <w:sz w:val="22"/>
        </w:rPr>
        <w:t xml:space="preserve">(544C) </w:t>
      </w:r>
      <w:r>
        <w:rPr>
          <w:rFonts w:ascii="Times New Roman" w:hAnsi="Times New Roman"/>
          <w:b/>
          <w:i w:val="false"/>
          <w:color w:val="000000"/>
          <w:sz w:val="22"/>
        </w:rPr>
        <w:t xml:space="preserve">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The interior designer is responsible for verifying the accuracy of the information submitted on applications regardless of how the application is submitted or by whom it is submitted. For instance, if the office manager of an interior designer’s firm submits an application for renewal on behalf of the interior designer and that information is incorrect, the interior designer will be held responsible for the information and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Persons applying for initial, renewal, or reciprocal registration shall submit an application on a form provided by the board and shall pay a registration fee of $275. Certificates issued to registrants with last names beginning with A through K shall expire on June 30 of even-numbered years, and certificates issued to registrants with last names beginning with L through Z shall expire on June 30 of odd-numbered years. An applicant applying for initial, reciprocal, or reinstatement registration within 12 months from the applicant’s required renewal date shall pay half of the required fee. An applicant applying for initial, reciprocal, or reinstatement registration more than 12 months from the applicant’s required renewal date shall pay the full registration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Fee schedule.</w:t>
      </w:r>
    </w:p>
    <w:tbl>
      <w:tblPr>
        <w:tblW w:w="5000" w:type="pct"/>
        <w:tblCellSpacing w:w="0" w:type="auto"/>
        <w:tblBorders>
          <w:top w:val="none"/>
          <w:left w:val="none"/>
          <w:bottom w:val="none"/>
          <w:right w:val="none"/>
          <w:insideH w:val="none"/>
          <w:insideV w:val="none"/>
        </w:tblBorders>
        <w:tblLayout w:type="fixed"/>
      </w:tblPr>
      <w:tblGrid>
        <w:gridCol w:w="6824"/>
        <w:gridCol w:w="4366"/>
      </w:tblGrid>
      <w:tr>
        <w:trPr>
          <w:trHeight w:val="210" w:hRule="atLeast"/>
        </w:trPr>
        <w:tc>
          <w:tcPr>
            <w:tcW w:w="6824"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Type of fee</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Amount</w:t>
            </w:r>
          </w:p>
        </w:tc>
      </w:tr>
      <w:tr>
        <w:trPr>
          <w:trHeight w:val="210" w:hRule="atLeast"/>
        </w:trPr>
        <w:tc>
          <w:tcPr>
            <w:tcW w:w="6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Initial registration fee</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$275</w:t>
            </w:r>
          </w:p>
        </w:tc>
      </w:tr>
      <w:tr>
        <w:trPr>
          <w:trHeight w:val="210" w:hRule="atLeast"/>
        </w:trPr>
        <w:tc>
          <w:tcPr>
            <w:tcW w:w="6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Reciprocal registration fee</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$275</w:t>
            </w:r>
          </w:p>
        </w:tc>
      </w:tr>
      <w:tr>
        <w:trPr>
          <w:trHeight w:val="210" w:hRule="atLeast"/>
        </w:trPr>
        <w:tc>
          <w:tcPr>
            <w:tcW w:w="6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Formal wall certificate</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10" w:hRule="atLeast"/>
        </w:trPr>
        <w:tc>
          <w:tcPr>
            <w:tcW w:w="6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Renewal</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$275</w:t>
            </w:r>
          </w:p>
        </w:tc>
      </w:tr>
      <w:tr>
        <w:trPr>
          <w:trHeight w:val="210" w:hRule="atLeast"/>
        </w:trPr>
        <w:tc>
          <w:tcPr>
            <w:tcW w:w="6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Late renewal fee</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10" w:hRule="atLeast"/>
        </w:trPr>
        <w:tc>
          <w:tcPr>
            <w:tcW w:w="6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Reinstatement of lapsed registration </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10" w:hRule="atLeast"/>
        </w:trPr>
        <w:tc>
          <w:tcPr>
            <w:tcW w:w="6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License predetermination fee</w:t>
            </w:r>
          </w:p>
        </w:tc>
        <w:tc>
          <w:tcPr>
            <w:tcW w:w="43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bl>
    <w:p>
      <w:pPr>
        <w:spacing w:before="0" w:after="0"/>
        <w:ind w:left="120"/>
        <w:jc w:val="both"/>
      </w:pPr>
      <w:r>
        <w:rPr>
          <w:rFonts w:ascii="Times New Roman" w:hAnsi="Times New Roman"/>
          <w:b w:val="false"/>
          <w:i w:val="false"/>
          <w:color w:val="000000"/>
          <w:sz w:val="22"/>
        </w:rPr>
        <w:t>All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4011C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5568C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9/21/06, Notice 8/16/06—published 10/11/06, effective 11/15/06]</w:t>
      </w:r>
    </w:p>
    <w:p>
      <w:pPr>
        <w:spacing w:before="0" w:after="0"/>
        <w:ind w:left="120"/>
        <w:jc w:val="center"/>
      </w:pPr>
      <w:r>
        <w:rPr>
          <w:rFonts w:ascii="Times New Roman" w:hAnsi="Times New Roman"/>
          <w:b w:val="false"/>
          <w:i w:val="false"/>
          <w:color w:val="000000"/>
          <w:sz w:val="21"/>
        </w:rPr>
        <w:t>[Filed ARC 9480B</w:t>
      </w:r>
      <w:r>
        <w:rPr>
          <w:rFonts w:ascii="Times New Roman" w:hAnsi="Times New Roman"/>
          <w:b w:val="false"/>
          <w:i w:val="false"/>
          <w:color w:val="000000"/>
          <w:sz w:val="21"/>
        </w:rPr>
        <w:t xml:space="preserve"> (Notice ARC 9347B, IAB 2/9/11)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1431C</w:t>
      </w:r>
      <w:r>
        <w:rPr>
          <w:rFonts w:ascii="Times New Roman" w:hAnsi="Times New Roman"/>
          <w:b w:val="false"/>
          <w:i w:val="false"/>
          <w:color w:val="000000"/>
          <w:sz w:val="21"/>
        </w:rPr>
        <w:t xml:space="preserve"> (Notice ARC 1298C, IAB 2/5/14)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3025C</w:t>
      </w:r>
      <w:r>
        <w:rPr>
          <w:rFonts w:ascii="Times New Roman" w:hAnsi="Times New Roman"/>
          <w:b w:val="false"/>
          <w:i w:val="false"/>
          <w:color w:val="000000"/>
          <w:sz w:val="21"/>
        </w:rPr>
        <w:t xml:space="preserve"> (Notice ARC 2796C, IAB 11/9/16)</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4011C</w:t>
      </w:r>
      <w:r>
        <w:rPr>
          <w:rFonts w:ascii="Times New Roman" w:hAnsi="Times New Roman"/>
          <w:b w:val="false"/>
          <w:i w:val="false"/>
          <w:color w:val="000000"/>
          <w:sz w:val="21"/>
        </w:rPr>
        <w:t xml:space="preserve"> (Notice ARC 3841C, IAB 6/20/18)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5568C</w:t>
      </w:r>
      <w:r>
        <w:rPr>
          <w:rFonts w:ascii="Times New Roman" w:hAnsi="Times New Roman"/>
          <w:b w:val="false"/>
          <w:i w:val="false"/>
          <w:color w:val="000000"/>
          <w:sz w:val="21"/>
        </w:rPr>
        <w:t xml:space="preserve"> (Notice ARC 5360C, IAB 12/30/20)</w:t>
      </w:r>
      <w:r>
        <w:rPr>
          <w:rFonts w:ascii="Times New Roman" w:hAnsi="Times New Roman"/>
          <w:b w:val="false"/>
          <w:i w:val="false"/>
          <w:color w:val="000000"/>
          <w:sz w:val="21"/>
        </w:rPr>
        <w:t>, IAB 4/21/21, effective 5/26/21]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G.2.3.pdf" Type="http://schemas.openxmlformats.org/officeDocument/2006/relationships/hyperlink" Id="rId5"/>
    <Relationship TargetMode="External" Target="https://www.legis.iowa.gov/docs/iac/chapter/193.7.pdf" Type="http://schemas.openxmlformats.org/officeDocument/2006/relationships/hyperlink" Id="rId6"/>
    <Relationship TargetMode="External" Target="https://www.legis.iowa.gov/docs/iac/rule/193.7.40.pdf" Type="http://schemas.openxmlformats.org/officeDocument/2006/relationships/hyperlink" Id="rId7"/>
    <Relationship TargetMode="External" Target="https://www.legis.iowa.gov/docs/iac/rule/193.7.40.pdf" Type="http://schemas.openxmlformats.org/officeDocument/2006/relationships/hyperlink" Id="rId8"/>
    <Relationship TargetMode="External" Target="https://www.legis.iowa.gov/docs/iac/rule/193G.3.4.pdf" Type="http://schemas.openxmlformats.org/officeDocument/2006/relationships/hyperlink" Id="rId9"/>
    <Relationship TargetMode="External" Target="https://www.legis.iowa.gov/docs/iac/rule/193.7.40.pdf" Type="http://schemas.openxmlformats.org/officeDocument/2006/relationships/hyperlink" Id="rId10"/>
    <Relationship TargetMode="External" Target="https://www.legis.iowa.gov/docs/iac/chapter/193G.3.pdf" Type="http://schemas.openxmlformats.org/officeDocument/2006/relationships/hyperlink" Id="rId11"/>
    <Relationship TargetMode="External" Target="https://www.legis.iowa.gov/docs/ico/chapter/544C.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