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193G—1.1</w:t>
      </w:r>
      <w:r>
        <w:rPr>
          <w:rFonts w:ascii="Times New Roman" w:hAnsi="Times New Roman"/>
          <w:b/>
          <w:i w:val="false"/>
          <w:color w:val="000000"/>
          <w:sz w:val="22"/>
        </w:rPr>
        <w:t xml:space="preserve">(544C,17A)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of words and terms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interior design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professional licensing and regulation bureau of the division of banking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“Interior design” </w:t>
      </w:r>
      <w:r>
        <w:rPr>
          <w:rFonts w:ascii="Times New Roman" w:hAnsi="Times New Roman"/>
          <w:b w:val="false"/>
          <w:i w:val="false"/>
          <w:color w:val="000000"/>
          <w:sz w:val="22"/>
        </w:rPr>
        <w:t>means the design of interior spaces including the preparation of documents relating to space planning, finish materials, furnishings, fixtures, and equipment, and the preparation of documents relating to the interior construction that does not affect the mechanical or structural systems of a building. “Interior design” does not include services that constitute the practice of architecture or professional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“NCIDQ” </w:t>
      </w:r>
      <w:r>
        <w:rPr>
          <w:rFonts w:ascii="Times New Roman" w:hAnsi="Times New Roman"/>
          <w:b w:val="false"/>
          <w:i w:val="false"/>
          <w:color w:val="000000"/>
          <w:sz w:val="22"/>
        </w:rPr>
        <w:t>means the National Council for Interior Design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interior designer” </w:t>
      </w:r>
      <w:r>
        <w:rPr>
          <w:rFonts w:ascii="Times New Roman" w:hAnsi="Times New Roman"/>
          <w:b w:val="false"/>
          <w:i w:val="false"/>
          <w:color w:val="000000"/>
          <w:sz w:val="22"/>
        </w:rPr>
        <w:t xml:space="preserve">means a person who obtains a registration and engages in the practice of interior design under the authority of Iowa Code chapter </w:t>
      </w:r>
      <w:hyperlink r:id="rId5">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193G—1.2</w:t>
      </w:r>
      <w:r>
        <w:rPr>
          <w:rFonts w:ascii="Times New Roman" w:hAnsi="Times New Roman"/>
          <w:b/>
          <w:i w:val="false"/>
          <w:color w:val="000000"/>
          <w:sz w:val="22"/>
        </w:rPr>
        <w:t xml:space="preserve">(544C)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board is to administer and enforce the provisions of Iowa Code chapter </w:t>
      </w:r>
      <w:hyperlink r:id="rId6">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including issuing registration certificates and registration renewals; investigating violations and infractions of the interior design law; disciplining registrants; and seeking injunctive relief against unregistered persons who violate Iowa Code chapter </w:t>
      </w:r>
      <w:hyperlink r:id="rId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To this end, the board has promulgated these rules to clarify the board’s intent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primary mission of the board is to protect the public interest. All board rules shall be construed as fostering the guiding policies and principles described in Iowa Code chapter </w:t>
      </w:r>
      <w:hyperlink r:id="rId8">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The board and its registrants shall strive at all times to protect the public interest by promoting the highest standards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All official communications, including submissions and requests, should be addressed to the board at 200 East Grand Avenue, Suite 350,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193G—1.3</w:t>
      </w:r>
      <w:r>
        <w:rPr>
          <w:rFonts w:ascii="Times New Roman" w:hAnsi="Times New Roman"/>
          <w:b/>
          <w:i w:val="false"/>
          <w:color w:val="000000"/>
          <w:sz w:val="22"/>
        </w:rPr>
        <w:t xml:space="preserve">(544C,17A)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 xml:space="preserve">The board shall consist of seven members: five members who are interior designers registered under Iowa Code chapter </w:t>
      </w:r>
      <w:hyperlink r:id="rId9">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two members who are not interior designers and who represent the general public. The board shall elect annually from its members a chairperson and a vice-chairperson. A quorum of the board shall be four members, and all final motions and actions must receive a majority vote. The board shall enforce the provisions of Iowa Code chapter </w:t>
      </w:r>
      <w:hyperlink r:id="rId10">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shall maintain a roster of all registered interior designers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shall, when present, preside at the meetings, appoint committees, and exercise all duties and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Vice-chairperson. </w:t>
      </w:r>
      <w:r>
        <w:rPr>
          <w:rFonts w:ascii="Times New Roman" w:hAnsi="Times New Roman"/>
          <w:b w:val="false"/>
          <w:i w:val="false"/>
          <w:color w:val="000000"/>
          <w:sz w:val="22"/>
        </w:rPr>
        <w:t>The vice-chairperson shall, in the absence or incapacity of the chairperson, exercise the duties and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193G—1.4</w:t>
      </w:r>
      <w:r>
        <w:rPr>
          <w:rFonts w:ascii="Times New Roman" w:hAnsi="Times New Roman"/>
          <w:b/>
          <w:i w:val="false"/>
          <w:color w:val="000000"/>
          <w:sz w:val="22"/>
        </w:rPr>
        <w:t xml:space="preserve">(544C,17A)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shall be issued in accordance with Iowa Code section </w:t>
      </w:r>
      <w:hyperlink r:id="rId11">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The annual meeting of the board shall be the first meeting scheduled after April 30. At this meeting, the chairperson and vice-chairperson shall be elected. The chairperson and vice-chairperson shall serve one-year terms. The newly elected officers shall assume the duties of their respective offices at the conclusion of the meeting at which they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193G—1.5</w:t>
      </w:r>
      <w:r>
        <w:rPr>
          <w:rFonts w:ascii="Times New Roman" w:hAnsi="Times New Roman"/>
          <w:b/>
          <w:i w:val="false"/>
          <w:color w:val="000000"/>
          <w:sz w:val="22"/>
        </w:rPr>
        <w:t xml:space="preserve">(544C) </w:t>
      </w:r>
      <w:r>
        <w:rPr>
          <w:rFonts w:ascii="Times New Roman" w:hAnsi="Times New Roman"/>
          <w:b/>
          <w:i w:val="false"/>
          <w:color w:val="000000"/>
          <w:sz w:val="22"/>
        </w:rPr>
        <w:t xml:space="preserve">Other meetings. </w:t>
      </w:r>
      <w:r>
        <w:rPr>
          <w:rFonts w:ascii="Times New Roman" w:hAnsi="Times New Roman"/>
          <w:b w:val="false"/>
          <w:i w:val="false"/>
          <w:color w:val="000000"/>
          <w:sz w:val="22"/>
        </w:rPr>
        <w:t>In addition to the annual meeting and any subsequent meetings, the time and place of which may be fixed by vote of the board, a meeting may be called by the chairperson of the board or by joint call of a majority of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193G—1.6</w:t>
      </w:r>
      <w:r>
        <w:rPr>
          <w:rFonts w:ascii="Times New Roman" w:hAnsi="Times New Roman"/>
          <w:b/>
          <w:i w:val="false"/>
          <w:color w:val="000000"/>
          <w:sz w:val="22"/>
        </w:rPr>
        <w:t xml:space="preserve">(544C,17A)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 xml:space="preserve">The chairperson or board administrator shall prepare an agenda listing all matters to be discussed at a meeting. A copy of the agenda shall be available to each member of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193G—1.7</w:t>
      </w:r>
      <w:r>
        <w:rPr>
          <w:rFonts w:ascii="Times New Roman" w:hAnsi="Times New Roman"/>
          <w:b/>
          <w:i w:val="false"/>
          <w:color w:val="000000"/>
          <w:sz w:val="22"/>
        </w:rPr>
        <w:t xml:space="preserve">(544C) </w:t>
      </w:r>
      <w:r>
        <w:rPr>
          <w:rFonts w:ascii="Times New Roman" w:hAnsi="Times New Roman"/>
          <w:b/>
          <w:i w:val="false"/>
          <w:color w:val="000000"/>
          <w:sz w:val="22"/>
        </w:rPr>
        <w:t xml:space="preserve">Administrative 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may appoint administrative committees of not less than two nor more than three members who shall be members of the board for the purpose of making recommendations on matters specified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An administrative committee may be appointed to make recommendations to the board concerning the board’s responsibilities in regard to examinations, registrations, continuing education, professional conduct, discipline and other board matters.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193G—1.8</w:t>
      </w:r>
      <w:r>
        <w:rPr>
          <w:rFonts w:ascii="Times New Roman" w:hAnsi="Times New Roman"/>
          <w:b/>
          <w:i w:val="false"/>
          <w:color w:val="000000"/>
          <w:sz w:val="22"/>
        </w:rPr>
        <w:t xml:space="preserve">(544C,17A)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wish to seek waivers from board rules should consult the uniform rules for the bureau at </w:t>
      </w:r>
      <w:hyperlink r:id="rId12">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w:t>
      </w:r>
      <w:hyperlink r:id="rId13">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 the following shall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the vice-chairperson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upon receipt of a petition that meets all applicable criteria established in </w:t>
      </w:r>
      <w:hyperlink r:id="rId14">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 shall present the request to the board chairperson or vice-chairperson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chairperson or vice-chairperson shall reserve the right to hold an electronic meeting of the board, pursuant to Iowa Code section </w:t>
      </w:r>
      <w:hyperlink r:id="rId15">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waiver report shall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16">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 xml:space="preserv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9/21/06, Notice 8/16/06—published 10/11/06, effective 11/15/06]</w:t>
      </w:r>
    </w:p>
    <w:p>
      <w:pPr>
        <w:spacing w:before="0" w:after="0"/>
        <w:ind w:left="120"/>
        <w:jc w:val="center"/>
      </w:pPr>
      <w:r>
        <w:rPr>
          <w:rFonts w:ascii="Times New Roman" w:hAnsi="Times New Roman"/>
          <w:b w:val="false"/>
          <w:i w:val="false"/>
          <w:color w:val="000000"/>
          <w:sz w:val="21"/>
        </w:rPr>
        <w:t>[Filed ARC 3024C</w:t>
      </w:r>
      <w:r>
        <w:rPr>
          <w:rFonts w:ascii="Times New Roman" w:hAnsi="Times New Roman"/>
          <w:b w:val="false"/>
          <w:i w:val="false"/>
          <w:color w:val="000000"/>
          <w:sz w:val="21"/>
        </w:rPr>
        <w:t xml:space="preserve"> (Notice ARC 2797C,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C.pdf" Type="http://schemas.openxmlformats.org/officeDocument/2006/relationships/hyperlink" Id="rId5"/>
    <Relationship TargetMode="External" Target="https://www.legis.iowa.gov/docs/ico/chapter/544C.pdf" Type="http://schemas.openxmlformats.org/officeDocument/2006/relationships/hyperlink" Id="rId6"/>
    <Relationship TargetMode="External" Target="https://www.legis.iowa.gov/docs/ico/chapter/544C.pdf" Type="http://schemas.openxmlformats.org/officeDocument/2006/relationships/hyperlink" Id="rId7"/>
    <Relationship TargetMode="External" Target="https://www.legis.iowa.gov/docs/ico/chapter/544C.pdf" Type="http://schemas.openxmlformats.org/officeDocument/2006/relationships/hyperlink" Id="rId8"/>
    <Relationship TargetMode="External" Target="https://www.legis.iowa.gov/docs/ico/chapter/544C.pdf" Type="http://schemas.openxmlformats.org/officeDocument/2006/relationships/hyperlink" Id="rId9"/>
    <Relationship TargetMode="External" Target="https://www.legis.iowa.gov/docs/ico/chapter/544C.pdf" Type="http://schemas.openxmlformats.org/officeDocument/2006/relationships/hyperlink" Id="rId10"/>
    <Relationship TargetMode="External" Target="https://www.legis.iowa.gov/docs/ico/chapter/21.4.pdf" Type="http://schemas.openxmlformats.org/officeDocument/2006/relationships/hyperlink" Id="rId11"/>
    <Relationship TargetMode="External" Target="https://www.legis.iowa.gov/docs/iac/chapter/193.5.pdf" Type="http://schemas.openxmlformats.org/officeDocument/2006/relationships/hyperlink" Id="rId12"/>
    <Relationship TargetMode="External" Target="https://www.legis.iowa.gov/docs/iac/chapter/193.5.pdf" Type="http://schemas.openxmlformats.org/officeDocument/2006/relationships/hyperlink" Id="rId13"/>
    <Relationship TargetMode="External" Target="https://www.legis.iowa.gov/docs/iac/chapter/193.5.pdf" Type="http://schemas.openxmlformats.org/officeDocument/2006/relationships/hyperlink" Id="rId14"/>
    <Relationship TargetMode="External" Target="https://www.legis.iowa.gov/docs/ico/chapter/21.8.pdf" Type="http://schemas.openxmlformats.org/officeDocument/2006/relationships/hyperlink" Id="rId15"/>
    <Relationship TargetMode="External" Target="https://www.legis.iowa.gov/docs/iac/rule/193G.1.8.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1.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252J.pdf" Type="http://schemas.openxmlformats.org/officeDocument/2006/relationships/hyperlink" Id="rId20"/>
    <Relationship TargetMode="External" Target="https://www.legis.iowa.gov/docs/ico/chapter/261.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co/chapter/544C.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