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ADMINISTRATION</w:t>
      </w:r>
    </w:p>
    <w:p>
      <w:pPr>
        <w:spacing w:before="0" w:after="0"/>
        <w:ind w:left="120"/>
        <w:jc w:val="center"/>
      </w:pPr>
      <w:r>
        <w:rPr>
          <w:rFonts w:ascii="Times New Roman" w:hAnsi="Times New Roman"/>
          <w:b w:val="false"/>
          <w:i w:val="false"/>
          <w:color w:val="000000"/>
          <w:sz w:val="14"/>
        </w:rPr>
        <w:t>[Prior to 2/20/02, see 193F—Chapters 2, 9 and 11]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193F—1.1</w:t>
      </w:r>
      <w:r>
        <w:rPr>
          <w:rFonts w:ascii="Times New Roman" w:hAnsi="Times New Roman"/>
          <w:b/>
          <w:i w:val="false"/>
          <w:color w:val="000000"/>
          <w:sz w:val="22"/>
        </w:rPr>
        <w:t xml:space="preserve">(543D) </w:t>
      </w:r>
      <w:r>
        <w:rPr>
          <w:rFonts w:ascii="Times New Roman" w:hAnsi="Times New Roman"/>
          <w:b/>
          <w:i w:val="false"/>
          <w:color w:val="000000"/>
          <w:sz w:val="22"/>
        </w:rPr>
        <w:t xml:space="preserve">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purpose of the real estate appraiser examining board is to administer and enforce the provisions of Iowa Code chapter </w:t>
      </w:r>
      <w:hyperlink r:id="rId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with regard to the appraisal of real property in the state of Iowa, examination of candidates, issuance of licenses, investigation of alleged violations by licensees, and discipline of those regulated by the board. Through its actions, the board seeks to promote and maintain a high level of public trust in professional appraisal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val="false"/>
          <w:color w:val="000000"/>
          <w:sz w:val="22"/>
        </w:rPr>
        <w:t>The board maintains an office at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board action under Iowa Code chapter </w:t>
      </w:r>
      <w:hyperlink r:id="rId6">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will be taken under the supervision of the director, as provided in Iowa Code section </w:t>
      </w:r>
      <w:hyperlink r:id="rId7">
        <w:r>
          <w:rPr>
            <w:rStyle w:val="Hyperlink"/>
            <w:rFonts w:ascii="Times New Roman" w:hAnsi="Times New Roman"/>
            <w:b w:val="false"/>
            <w:i w:val="false"/>
            <w:color w:val="000000"/>
            <w:sz w:val="22"/>
          </w:rPr>
          <w:t>543D.23</w:t>
        </w:r>
      </w:hyperlink>
      <w:r>
        <w:rPr>
          <w:rFonts w:ascii="Times New Roman" w:hAnsi="Times New Roman"/>
          <w:b w:val="false"/>
          <w:i w:val="false"/>
          <w:color w:val="000000"/>
          <w:sz w:val="22"/>
        </w:rPr>
        <w:t xml:space="preserve"> and these implementing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193F—1.2</w:t>
      </w:r>
      <w:r>
        <w:rPr>
          <w:rFonts w:ascii="Times New Roman" w:hAnsi="Times New Roman"/>
          <w:b/>
          <w:i w:val="false"/>
          <w:color w:val="000000"/>
          <w:sz w:val="22"/>
        </w:rPr>
        <w:t xml:space="preserve">(543D) </w:t>
      </w:r>
      <w:r>
        <w:rPr>
          <w:rFonts w:ascii="Times New Roman" w:hAnsi="Times New Roman"/>
          <w:b/>
          <w:i w:val="false"/>
          <w:color w:val="000000"/>
          <w:sz w:val="22"/>
        </w:rPr>
        <w:t xml:space="preserve">Administrative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is vested with authority to review, approve, modify, or reject all board action pursuant to Iowa Code chapter </w:t>
      </w:r>
      <w:hyperlink r:id="rId8">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director may exercise all authority conferred upon the board and has to have access to all records and information to which the board has access. In supervising the board, the director will independently evaluate the substantive merits of recommended or proposed board actions which may be anticompetitive.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performing its duties and in exercising its authority under Iowa Code chapter </w:t>
      </w:r>
      <w:hyperlink r:id="rId9">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board may take action without preclearance by the director if the action is ministerial or nondiscretionary. As used in this chapter, the words “ministerial or nondiscretionary” include any action expressly mandated by state or federal law, rule, or regulation; by the AQB; or by the appraisal subcommittee. The board may, for example, grant or deny an application for initial or reciprocal certification as a real estate appraiser, an application for registration as an associate real estate appraiser, or an application for a temporary practice permit by an out-of-state appraiser, on any ground expressly mandated by state or federal law, rule, or regulation; by the AQB; or by the appraisal subcommittee.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taking discretionary action under Iowa Code chapter </w:t>
      </w:r>
      <w:hyperlink r:id="rId10">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board will secure approval of the director if the proposed action is or may be anticompetitive. As used in this chapter, the word “discretionary” includes any action that is authorized but not expressly imposed by state or federal law, rule, or regulation; by the AQB; or by the appraisal subcommittee. Examples of discretionary action include orders in response to petitions for rulemaking, declaratory orders, or waivers from rules, rulemaking, disciplinary proceedings against licensees, administrative proceedings against unlicensed persons, or any action commenced in the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val="false"/>
          <w:color w:val="000000"/>
          <w:sz w:val="22"/>
        </w:rPr>
        <w:t>Determining whether any particular action is or may be anticompetitive is necessarily a fact-based inquiry dependent on a number of factors, including potential impact on the market or restraint of trade. With respect to disciplinary actions, for instance, a proceeding against a single licensee for violating appraisal standards would not have an impact on the broader market and would accordingly not be an anticompetitive action. Commencement of disciplinary proceedings which affect all or a substantial subset of appraisers may have a significant market impact. When in doubt as to whether a proposed discretionary action is or may be anticompetitive, the board may submit the proposed action to the director for preclearance.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aggrieved by any final action of the board taken under Iowa Code chapter </w:t>
      </w:r>
      <w:hyperlink r:id="rId11">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may appeal that action to the director within 20 days of the date the board issues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appeal process applies whether the board action at issue was ministerial or nondiscretionary, or discretionary, and whether the proposed action was or was not submitted through a preclearance process before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person aggrieved by a final action of the board may seek judicial review of that action without first appealing the action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filings, and requests for public information. Final board action, regardless of whether such board action is ministerial, nondiscretionary, or discretionary, will be immediately effective when issued by the board but is subject to review or appeal to the director. If a timely review is initiated or a timely appeal is taken, the effectiveness of such final board action will be delayed during the pendency of such review or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193F—1.3</w:t>
      </w:r>
      <w:r>
        <w:rPr>
          <w:rFonts w:ascii="Times New Roman" w:hAnsi="Times New Roman"/>
          <w:b/>
          <w:i w:val="false"/>
          <w:color w:val="000000"/>
          <w:sz w:val="22"/>
        </w:rPr>
        <w:t xml:space="preserve">(543D) </w:t>
      </w:r>
      <w:r>
        <w:rPr>
          <w:rFonts w:ascii="Times New Roman" w:hAnsi="Times New Roman"/>
          <w:b/>
          <w:i w:val="false"/>
          <w:color w:val="000000"/>
          <w:sz w:val="22"/>
        </w:rPr>
        <w:t xml:space="preserve">Annual meeting. </w:t>
      </w:r>
      <w:r>
        <w:rPr>
          <w:rFonts w:ascii="Times New Roman" w:hAnsi="Times New Roman"/>
          <w:b w:val="false"/>
          <w:i w:val="false"/>
          <w:color w:val="000000"/>
          <w:sz w:val="22"/>
        </w:rPr>
        <w:t>The annual meeting of the board will be the first meeting scheduled after April 30. At this time, the chairperson and vice chairperson are elected to serve until their successors are elected.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193F—1.4</w:t>
      </w:r>
      <w:r>
        <w:rPr>
          <w:rFonts w:ascii="Times New Roman" w:hAnsi="Times New Roman"/>
          <w:b/>
          <w:i w:val="false"/>
          <w:color w:val="000000"/>
          <w:sz w:val="22"/>
        </w:rPr>
        <w:t xml:space="preserve">(543D) </w:t>
      </w:r>
      <w:r>
        <w:rPr>
          <w:rFonts w:ascii="Times New Roman" w:hAnsi="Times New Roman"/>
          <w:b/>
          <w:i w:val="false"/>
          <w:color w:val="000000"/>
          <w:sz w:val="22"/>
        </w:rPr>
        <w:t xml:space="preserve">Other meetings. </w:t>
      </w:r>
      <w:r>
        <w:rPr>
          <w:rFonts w:ascii="Times New Roman" w:hAnsi="Times New Roman"/>
          <w:b w:val="false"/>
          <w:i w:val="false"/>
          <w:color w:val="000000"/>
          <w:sz w:val="22"/>
        </w:rPr>
        <w:t>In addition to the annual meeting, and in addition to other meetings, the time and place of which may be fixed by resolution of the board, any meeting may be called by the chairperson of the board or by joint call of a majority of its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193F—1.5</w:t>
      </w:r>
      <w:r>
        <w:rPr>
          <w:rFonts w:ascii="Times New Roman" w:hAnsi="Times New Roman"/>
          <w:b/>
          <w:i w:val="false"/>
          <w:color w:val="000000"/>
          <w:sz w:val="22"/>
        </w:rPr>
        <w:t xml:space="preserve">(543D) </w:t>
      </w:r>
      <w:r>
        <w:rPr>
          <w:rFonts w:ascii="Times New Roman" w:hAnsi="Times New Roman"/>
          <w:b/>
          <w:i w:val="false"/>
          <w:color w:val="000000"/>
          <w:sz w:val="22"/>
        </w:rPr>
        <w:t xml:space="preserve">Executive officer’s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val="false"/>
          <w:color w:val="000000"/>
          <w:sz w:val="22"/>
        </w:rPr>
        <w:t>The executive officer is to cause complete records to be kept of applications for examination and registration, certificates and permits granted, and all necessary information in regard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val="false"/>
          <w:color w:val="000000"/>
          <w:sz w:val="22"/>
        </w:rPr>
        <w:t>The executive officer is to determine when the legal obligations for certification and registration have been satisfied with regard to issuance of certificates or registrations, and the executive officer will submit to the board any questionable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val="false"/>
          <w:color w:val="000000"/>
          <w:sz w:val="22"/>
        </w:rPr>
        <w:t>The executive officer will keep accurate minutes of the meetings of the board. The executive officer will keep a list of the names of persons issued certificates as certified general real property appraisers, certified residential real property appraisers and associate real property appraisers.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193F—1.6</w:t>
      </w:r>
      <w:r>
        <w:rPr>
          <w:rFonts w:ascii="Times New Roman" w:hAnsi="Times New Roman"/>
          <w:b/>
          <w:i w:val="false"/>
          <w:color w:val="000000"/>
          <w:sz w:val="22"/>
        </w:rPr>
        <w:t xml:space="preserve">(543D) </w:t>
      </w:r>
      <w:r>
        <w:rPr>
          <w:rFonts w:ascii="Times New Roman" w:hAnsi="Times New Roman"/>
          <w:b/>
          <w:i w:val="false"/>
          <w:color w:val="000000"/>
          <w:sz w:val="22"/>
        </w:rPr>
        <w:t xml:space="preserve">Records, filings, and requests for public information. </w:t>
      </w:r>
      <w:r>
        <w:rPr>
          <w:rFonts w:ascii="Times New Roman" w:hAnsi="Times New Roman"/>
          <w:b w:val="false"/>
          <w:i w:val="false"/>
          <w:color w:val="000000"/>
          <w:sz w:val="22"/>
        </w:rPr>
        <w:t>Unless otherwise specified by the rules of the department of inspections, appeals, and licensing, the board is the principal custodian of its own agency orders, statements of law or policy issued by the board, legal documents, and other public documents on file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val="false"/>
          <w:color w:val="000000"/>
          <w:sz w:val="22"/>
        </w:rPr>
        <w:t>Any person may examine public records promulgated or maintained by the board at its office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val="false"/>
          <w:color w:val="000000"/>
          <w:sz w:val="22"/>
        </w:rPr>
        <w:t>Deadlines. Unless the context dictates otherwise, such as is the case for timely renewal of a registration or certificate, any deadline for filing a document will be extended to the next working day when the deadline falls on a Saturday, Sunday, or official state holiday.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193F—1.7</w:t>
      </w:r>
      <w:r>
        <w:rPr>
          <w:rFonts w:ascii="Times New Roman" w:hAnsi="Times New Roman"/>
          <w:b/>
          <w:i w:val="false"/>
          <w:color w:val="000000"/>
          <w:sz w:val="22"/>
        </w:rPr>
        <w:t xml:space="preserve">(543D) </w:t>
      </w:r>
      <w:r>
        <w:rPr>
          <w:rFonts w:ascii="Times New Roman" w:hAnsi="Times New Roman"/>
          <w:b/>
          <w:i w:val="false"/>
          <w:color w:val="000000"/>
          <w:sz w:val="22"/>
        </w:rPr>
        <w:t xml:space="preserve">Adoption, amendment or repeal of administrative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is authorized to adopt, amend or repeal its administrative rules in accordance with the provisions of Iowa Code section </w:t>
      </w:r>
      <w:hyperlink r:id="rId12">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Prior to the adoption, amendment or repeal of any rule of the board, any interested person, as described in Iowa Code section </w:t>
      </w:r>
      <w:hyperlink r:id="rId13">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submit any data, views, or arguments in writing concerning such rule or may request to make an oral presentation concerning such rule. Such written comments or requests to make oral presentations are to be filed with the board at its official address and should clearly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or agency authoring the comment or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number and title of the proposed rule, which is the subject of the comment or request as given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general content of the oral presentation. A separate comment or request to make an oral presentation will be made for each proposed rule to which remarks are to be asserted.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val="false"/>
          <w:color w:val="000000"/>
          <w:sz w:val="22"/>
        </w:rPr>
        <w:t>The board will acknowledge receipt and acceptance for consideration of written comments and requests to make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val="false"/>
          <w:color w:val="000000"/>
          <w:sz w:val="22"/>
        </w:rPr>
        <w:t>Written comments received after the deadline set forth in the Notice of Intended Action may be accepted by the board although their consideration is not assured. Requests to make an oral presentation received after the deadline will not be accepted and will be returned to the requester.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193F—1.8</w:t>
      </w:r>
      <w:r>
        <w:rPr>
          <w:rFonts w:ascii="Times New Roman" w:hAnsi="Times New Roman"/>
          <w:b/>
          <w:i w:val="false"/>
          <w:color w:val="000000"/>
          <w:sz w:val="22"/>
        </w:rPr>
        <w:t xml:space="preserve">(543D) </w:t>
      </w:r>
      <w:r>
        <w:rPr>
          <w:rFonts w:ascii="Times New Roman" w:hAnsi="Times New Roman"/>
          <w:b/>
          <w:i w:val="false"/>
          <w:color w:val="000000"/>
          <w:sz w:val="22"/>
        </w:rPr>
        <w:t xml:space="preserve">Types of appraiser classifications. </w:t>
      </w:r>
      <w:r>
        <w:rPr>
          <w:rFonts w:ascii="Times New Roman" w:hAnsi="Times New Roman"/>
          <w:b w:val="false"/>
          <w:i w:val="false"/>
          <w:color w:val="000000"/>
          <w:sz w:val="22"/>
        </w:rPr>
        <w:t>There are four types of appraiser classifications: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residential real property appraiser. This classification consists of those persons who meet the obligations of </w:t>
      </w:r>
      <w:hyperlink r:id="rId14">
        <w:r>
          <w:rPr>
            <w:rStyle w:val="Hyperlink"/>
            <w:rFonts w:ascii="Times New Roman" w:hAnsi="Times New Roman"/>
            <w:b w:val="false"/>
            <w:i w:val="false"/>
            <w:color w:val="000000"/>
            <w:sz w:val="22"/>
          </w:rPr>
          <w:t>193F—Chapter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Associate general property appraiser. This classification consists of those persons who meet the obligations of </w:t>
      </w:r>
      <w:hyperlink r:id="rId15">
        <w:r>
          <w:rPr>
            <w:rStyle w:val="Hyperlink"/>
            <w:rFonts w:ascii="Times New Roman" w:hAnsi="Times New Roman"/>
            <w:b w:val="false"/>
            <w:i w:val="false"/>
            <w:color w:val="000000"/>
            <w:sz w:val="22"/>
          </w:rPr>
          <w:t>193F—Chapter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residential real property appraiser. This classification consists of those persons who meet the obligations of </w:t>
      </w:r>
      <w:hyperlink r:id="rId16">
        <w:r>
          <w:rPr>
            <w:rStyle w:val="Hyperlink"/>
            <w:rFonts w:ascii="Times New Roman" w:hAnsi="Times New Roman"/>
            <w:b w:val="false"/>
            <w:i w:val="false"/>
            <w:color w:val="000000"/>
            <w:sz w:val="22"/>
          </w:rPr>
          <w:t>193F—Chapter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general real property appraiser. This classification consists of those persons who meet the obligations of </w:t>
      </w:r>
      <w:hyperlink r:id="rId17">
        <w:r>
          <w:rPr>
            <w:rStyle w:val="Hyperlink"/>
            <w:rFonts w:ascii="Times New Roman" w:hAnsi="Times New Roman"/>
            <w:b w:val="false"/>
            <w:i w:val="false"/>
            <w:color w:val="000000"/>
            <w:sz w:val="22"/>
          </w:rPr>
          <w:t>193F—Chapter 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193F—1.9</w:t>
      </w:r>
      <w:r>
        <w:rPr>
          <w:rFonts w:ascii="Times New Roman" w:hAnsi="Times New Roman"/>
          <w:b/>
          <w:i w:val="false"/>
          <w:color w:val="000000"/>
          <w:sz w:val="22"/>
        </w:rPr>
        <w:t xml:space="preserve">(543D) </w:t>
      </w:r>
      <w:r>
        <w:rPr>
          <w:rFonts w:ascii="Times New Roman" w:hAnsi="Times New Roman"/>
          <w:b/>
          <w:i w:val="false"/>
          <w:color w:val="000000"/>
          <w:sz w:val="22"/>
        </w:rPr>
        <w:t xml:space="preserve">Qualified state appraiser certifying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w:t>
      </w:r>
      <w:r>
        <w:rPr>
          <w:rFonts w:ascii="Times New Roman" w:hAnsi="Times New Roman"/>
          <w:b w:val="false"/>
          <w:i w:val="false"/>
          <w:color w:val="000000"/>
          <w:sz w:val="22"/>
        </w:rPr>
        <w:t> </w:t>
      </w:r>
      <w:r>
        <w:rPr>
          <w:rFonts w:ascii="Times New Roman" w:hAnsi="Times New Roman"/>
          <w:b w:val="false"/>
          <w:i w:val="false"/>
          <w:color w:val="000000"/>
          <w:sz w:val="22"/>
        </w:rPr>
        <w:t>The real estate appraiser examining board is a state appraiser certifying agency in compliance with Title XI of the Financial Institutions Reform, Recovery, and Enforcement Act of 1989 (FIRREA). As a result, persons who are issued certificates by the board to practice as certified real estate appraisers are authorized under federal law to perform appraisal services for federally related transactions and are identified as such in the National Registry maintained by the Appraisal Subcommittee (ASC).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adhere to the criteria established by the Appraiser Qualifications Board (AQB) of the Appraisal Foundation when registering associate appraisers or certifying certified appraisers under Iowa Code chapter </w:t>
      </w:r>
      <w:hyperlink r:id="rId18">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To the extent that the rules conflict with the minimum obligations outlined in the current version of the AQB criteria, the minimum standards established in the criteria will apply and these rules will give way to the minimum obligations to comply with federal rule, law, or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193F—1.10</w:t>
      </w:r>
      <w:r>
        <w:rPr>
          <w:rFonts w:ascii="Times New Roman" w:hAnsi="Times New Roman"/>
          <w:b/>
          <w:i w:val="false"/>
          <w:color w:val="000000"/>
          <w:sz w:val="22"/>
        </w:rPr>
        <w:t xml:space="preserve">(543D) </w:t>
      </w:r>
      <w:r>
        <w:rPr>
          <w:rFonts w:ascii="Times New Roman" w:hAnsi="Times New Roman"/>
          <w:b/>
          <w:i w:val="false"/>
          <w:color w:val="000000"/>
          <w:sz w:val="22"/>
        </w:rPr>
        <w:t xml:space="preserve">AQB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w:t>
      </w:r>
      <w:r>
        <w:rPr>
          <w:rFonts w:ascii="Times New Roman" w:hAnsi="Times New Roman"/>
          <w:b w:val="false"/>
          <w:i w:val="false"/>
          <w:color w:val="000000"/>
          <w:sz w:val="22"/>
        </w:rPr>
        <w:t> </w:t>
      </w:r>
      <w:r>
        <w:rPr>
          <w:rFonts w:ascii="Times New Roman" w:hAnsi="Times New Roman"/>
          <w:b w:val="false"/>
          <w:i w:val="false"/>
          <w:color w:val="000000"/>
          <w:sz w:val="22"/>
        </w:rPr>
        <w:t>No person may be certified as a certified appraiser unless the person is eligible under the January 1, 2022,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1.10(2)</w:t>
      </w:r>
      <w:r>
        <w:rPr>
          <w:rFonts w:ascii="Times New Roman" w:hAnsi="Times New Roman"/>
          <w:b w:val="false"/>
          <w:i w:val="false"/>
          <w:color w:val="000000"/>
          <w:sz w:val="22"/>
        </w:rPr>
        <w:t> </w:t>
      </w:r>
      <w:r>
        <w:rPr>
          <w:rFonts w:ascii="Times New Roman" w:hAnsi="Times New Roman"/>
          <w:b w:val="false"/>
          <w:i w:val="false"/>
          <w:color w:val="000000"/>
          <w:sz w:val="22"/>
        </w:rPr>
        <w:t>The January 1, 2022, AQB criteria outline the conditions under which applicants for certification are eligible to take the mandated examinations.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543D.4</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543D.5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543D.7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543D.17</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543D.20</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543D.22</w:t>
        </w:r>
      </w:hyperlink>
      <w:r>
        <w:rPr>
          <w:rFonts w:ascii="Times New Roman" w:hAnsi="Times New Roman"/>
          <w:b w:val="false"/>
          <w:i w:val="false"/>
          <w:color w:val="000000"/>
          <w:sz w:val="22"/>
        </w:rPr>
        <w:t xml:space="preserve"> and chapter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8/1/91, Notice 5/29/91—published 8/21/91, effective 9/25/91]</w:t>
      </w:r>
    </w:p>
    <w:p>
      <w:pPr>
        <w:spacing w:before="0" w:after="0"/>
        <w:ind w:left="120"/>
        <w:jc w:val="center"/>
      </w:pPr>
      <w:r>
        <w:rPr>
          <w:rFonts w:ascii="Times New Roman" w:hAnsi="Times New Roman"/>
          <w:b w:val="false"/>
          <w:i w:val="false"/>
          <w:color w:val="000000"/>
          <w:sz w:val="21"/>
        </w:rPr>
        <w:t>[Filed emergency 4/9/93—published 4/28/93, effective 4/9/93]</w:t>
      </w:r>
    </w:p>
    <w:p>
      <w:pPr>
        <w:spacing w:before="0" w:after="0"/>
        <w:ind w:left="120"/>
        <w:jc w:val="center"/>
      </w:pPr>
      <w:r>
        <w:rPr>
          <w:rFonts w:ascii="Times New Roman" w:hAnsi="Times New Roman"/>
          <w:b w:val="false"/>
          <w:i w:val="false"/>
          <w:color w:val="000000"/>
          <w:sz w:val="21"/>
        </w:rPr>
        <w:t>[Filed 12/12/95, Notice 10/25/95—published 1/3/96, effective 2/7/96]</w:t>
      </w:r>
    </w:p>
    <w:p>
      <w:pPr>
        <w:spacing w:before="0" w:after="0"/>
        <w:ind w:left="120"/>
        <w:jc w:val="center"/>
      </w:pPr>
      <w:r>
        <w:rPr>
          <w:rFonts w:ascii="Times New Roman" w:hAnsi="Times New Roman"/>
          <w:b w:val="false"/>
          <w:i w:val="false"/>
          <w:color w:val="000000"/>
          <w:sz w:val="21"/>
        </w:rPr>
        <w:t>[Filed 2/28/96, Notice 1/3/96—published 3/27/96, effective 5/1/96]</w:t>
      </w:r>
    </w:p>
    <w:p>
      <w:pPr>
        <w:spacing w:before="0" w:after="0"/>
        <w:ind w:left="120"/>
        <w:jc w:val="center"/>
      </w:pPr>
      <w:r>
        <w:rPr>
          <w:rFonts w:ascii="Times New Roman" w:hAnsi="Times New Roman"/>
          <w:b w:val="false"/>
          <w:i w:val="false"/>
          <w:color w:val="000000"/>
          <w:sz w:val="21"/>
        </w:rPr>
        <w:t>[Filed 4/30/99, Notice 3/24/99—published 5/19/99, effective 6/23/99]</w:t>
      </w:r>
    </w:p>
    <w:p>
      <w:pPr>
        <w:spacing w:before="0" w:after="0"/>
        <w:ind w:left="120"/>
        <w:jc w:val="center"/>
      </w:pPr>
      <w:r>
        <w:rPr>
          <w:rFonts w:ascii="Times New Roman" w:hAnsi="Times New Roman"/>
          <w:b w:val="false"/>
          <w:i w:val="false"/>
          <w:color w:val="000000"/>
          <w:sz w:val="21"/>
        </w:rPr>
        <w:t>[Filed 2/1/02, Notice 11/28/01—published 2/20/02, effective 3/27/02]</w:t>
      </w:r>
    </w:p>
    <w:p>
      <w:pPr>
        <w:spacing w:before="0" w:after="0"/>
        <w:ind w:left="120"/>
        <w:jc w:val="center"/>
      </w:pPr>
      <w:r>
        <w:rPr>
          <w:rFonts w:ascii="Times New Roman" w:hAnsi="Times New Roman"/>
          <w:b w:val="false"/>
          <w:i w:val="false"/>
          <w:color w:val="000000"/>
          <w:sz w:val="21"/>
        </w:rPr>
        <w:t>[Filed 9/26/02, Notice 8/21/02—published 10/16/02, effective 11/20/02]</w:t>
      </w:r>
    </w:p>
    <w:p>
      <w:pPr>
        <w:spacing w:before="0" w:after="0"/>
        <w:ind w:left="120"/>
        <w:jc w:val="center"/>
      </w:pPr>
      <w:r>
        <w:rPr>
          <w:rFonts w:ascii="Times New Roman" w:hAnsi="Times New Roman"/>
          <w:b w:val="false"/>
          <w:i w:val="false"/>
          <w:color w:val="000000"/>
          <w:sz w:val="21"/>
        </w:rPr>
        <w:t>[Filed 2/22/07, Notice 1/17/07—published 3/14/07, effective 4/18/07]</w:t>
      </w:r>
    </w:p>
    <w:p>
      <w:pPr>
        <w:spacing w:before="0" w:after="0"/>
        <w:ind w:left="120"/>
        <w:jc w:val="center"/>
      </w:pPr>
      <w:r>
        <w:rPr>
          <w:rFonts w:ascii="Times New Roman" w:hAnsi="Times New Roman"/>
          <w:b w:val="false"/>
          <w:i w:val="false"/>
          <w:color w:val="000000"/>
          <w:sz w:val="21"/>
        </w:rPr>
        <w:t>[Filed ARC 7774B</w:t>
      </w:r>
      <w:r>
        <w:rPr>
          <w:rFonts w:ascii="Times New Roman" w:hAnsi="Times New Roman"/>
          <w:b w:val="false"/>
          <w:i w:val="false"/>
          <w:color w:val="000000"/>
          <w:sz w:val="21"/>
        </w:rPr>
        <w:t xml:space="preserve"> (Notice ARC 7595B, IAB 2/25/09)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1467C</w:t>
      </w:r>
      <w:r>
        <w:rPr>
          <w:rFonts w:ascii="Times New Roman" w:hAnsi="Times New Roman"/>
          <w:b w:val="false"/>
          <w:i w:val="false"/>
          <w:color w:val="000000"/>
          <w:sz w:val="21"/>
        </w:rPr>
        <w:t xml:space="preserve"> (Notice ARC 1410C, IAB 4/2/14)</w:t>
      </w:r>
      <w:r>
        <w:rPr>
          <w:rFonts w:ascii="Times New Roman" w:hAnsi="Times New Roman"/>
          <w:b w:val="false"/>
          <w:i w:val="false"/>
          <w:color w:val="000000"/>
          <w:sz w:val="21"/>
        </w:rPr>
        <w:t>, IAB 5/28/14, effective 7/2/14]</w:t>
      </w:r>
    </w:p>
    <w:p>
      <w:pPr>
        <w:spacing w:before="0" w:after="0"/>
        <w:ind w:left="120"/>
        <w:jc w:val="center"/>
      </w:pPr>
      <w:r>
        <w:rPr>
          <w:rFonts w:ascii="Times New Roman" w:hAnsi="Times New Roman"/>
          <w:b w:val="false"/>
          <w:i w:val="false"/>
          <w:color w:val="000000"/>
          <w:sz w:val="21"/>
        </w:rPr>
        <w:t>[Filed ARC 2808C</w:t>
      </w:r>
      <w:r>
        <w:rPr>
          <w:rFonts w:ascii="Times New Roman" w:hAnsi="Times New Roman"/>
          <w:b w:val="false"/>
          <w:i w:val="false"/>
          <w:color w:val="000000"/>
          <w:sz w:val="21"/>
        </w:rPr>
        <w:t xml:space="preserve"> (Notice ARC 2710C, IAB 9/14/16)</w:t>
      </w:r>
      <w:r>
        <w:rPr>
          <w:rFonts w:ascii="Times New Roman" w:hAnsi="Times New Roman"/>
          <w:b w:val="false"/>
          <w:i w:val="false"/>
          <w:color w:val="000000"/>
          <w:sz w:val="21"/>
        </w:rPr>
        <w:t>, IAB 11/9/16, effective 1/1/17]</w:t>
      </w:r>
    </w:p>
    <w:p>
      <w:pPr>
        <w:spacing w:before="0" w:after="0"/>
        <w:ind w:left="120"/>
        <w:jc w:val="center"/>
      </w:pPr>
      <w:r>
        <w:rPr>
          <w:rFonts w:ascii="Times New Roman" w:hAnsi="Times New Roman"/>
          <w:b w:val="false"/>
          <w:i w:val="false"/>
          <w:color w:val="000000"/>
          <w:sz w:val="21"/>
        </w:rPr>
        <w:t>[Filed ARC 3084C</w:t>
      </w:r>
      <w:r>
        <w:rPr>
          <w:rFonts w:ascii="Times New Roman" w:hAnsi="Times New Roman"/>
          <w:b w:val="false"/>
          <w:i w:val="false"/>
          <w:color w:val="000000"/>
          <w:sz w:val="21"/>
        </w:rPr>
        <w:t xml:space="preserve"> (Notice ARC 2966C, IAB 3/15/17)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4169C</w:t>
      </w:r>
      <w:r>
        <w:rPr>
          <w:rFonts w:ascii="Times New Roman" w:hAnsi="Times New Roman"/>
          <w:b w:val="false"/>
          <w:i w:val="false"/>
          <w:color w:val="000000"/>
          <w:sz w:val="21"/>
        </w:rPr>
        <w:t xml:space="preserve"> (Notice ARC 4006C, IAB 9/26/18)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4379C</w:t>
      </w:r>
      <w:r>
        <w:rPr>
          <w:rFonts w:ascii="Times New Roman" w:hAnsi="Times New Roman"/>
          <w:b w:val="false"/>
          <w:i w:val="false"/>
          <w:color w:val="000000"/>
          <w:sz w:val="21"/>
        </w:rPr>
        <w:t xml:space="preserve"> (Notice ARC 4224C, IAB 1/16/19)</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4707C</w:t>
      </w:r>
      <w:r>
        <w:rPr>
          <w:rFonts w:ascii="Times New Roman" w:hAnsi="Times New Roman"/>
          <w:b w:val="false"/>
          <w:i w:val="false"/>
          <w:color w:val="000000"/>
          <w:sz w:val="21"/>
        </w:rPr>
        <w:t xml:space="preserve"> (Notice ARC 4567C, IAB 7/31/19)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5237C</w:t>
      </w:r>
      <w:r>
        <w:rPr>
          <w:rFonts w:ascii="Times New Roman" w:hAnsi="Times New Roman"/>
          <w:b w:val="false"/>
          <w:i w:val="false"/>
          <w:color w:val="000000"/>
          <w:sz w:val="21"/>
        </w:rPr>
        <w:t xml:space="preserve"> (Notice ARC 5126C, IAB 8/12/20)</w:t>
      </w:r>
      <w:r>
        <w:rPr>
          <w:rFonts w:ascii="Times New Roman" w:hAnsi="Times New Roman"/>
          <w:b w:val="false"/>
          <w:i w:val="false"/>
          <w:color w:val="000000"/>
          <w:sz w:val="21"/>
        </w:rPr>
        <w:t>, IAB 10/21/20, effective 11/25/20]</w:t>
      </w:r>
    </w:p>
    <w:p>
      <w:pPr>
        <w:spacing w:before="0" w:after="0"/>
        <w:ind w:left="120"/>
        <w:jc w:val="center"/>
      </w:pPr>
      <w:r>
        <w:rPr>
          <w:rFonts w:ascii="Times New Roman" w:hAnsi="Times New Roman"/>
          <w:b w:val="false"/>
          <w:i w:val="false"/>
          <w:color w:val="000000"/>
          <w:sz w:val="21"/>
        </w:rPr>
        <w:t>[Filed ARC 5484C</w:t>
      </w:r>
      <w:r>
        <w:rPr>
          <w:rFonts w:ascii="Times New Roman" w:hAnsi="Times New Roman"/>
          <w:b w:val="false"/>
          <w:i w:val="false"/>
          <w:color w:val="000000"/>
          <w:sz w:val="21"/>
        </w:rPr>
        <w:t xml:space="preserve"> (Notice ARC 5261C, IAB 11/4/20)</w:t>
      </w:r>
      <w:r>
        <w:rPr>
          <w:rFonts w:ascii="Times New Roman" w:hAnsi="Times New Roman"/>
          <w:b w:val="false"/>
          <w:i w:val="false"/>
          <w:color w:val="000000"/>
          <w:sz w:val="21"/>
        </w:rPr>
        <w:t>, IAB 2/24/21, effective 3/31/21]</w:t>
      </w:r>
    </w:p>
    <w:p>
      <w:pPr>
        <w:spacing w:before="0" w:after="0"/>
        <w:ind w:left="120"/>
        <w:jc w:val="center"/>
      </w:pPr>
      <w:r>
        <w:rPr>
          <w:rFonts w:ascii="Times New Roman" w:hAnsi="Times New Roman"/>
          <w:b w:val="false"/>
          <w:i w:val="false"/>
          <w:color w:val="000000"/>
          <w:sz w:val="21"/>
        </w:rPr>
        <w:t>[Filed ARC 5785C</w:t>
      </w:r>
      <w:r>
        <w:rPr>
          <w:rFonts w:ascii="Times New Roman" w:hAnsi="Times New Roman"/>
          <w:b w:val="false"/>
          <w:i w:val="false"/>
          <w:color w:val="000000"/>
          <w:sz w:val="21"/>
        </w:rPr>
        <w:t xml:space="preserve"> (Notice ARC 5611C, IAB 5/5/21)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ARC 6170C</w:t>
      </w:r>
      <w:r>
        <w:rPr>
          <w:rFonts w:ascii="Times New Roman" w:hAnsi="Times New Roman"/>
          <w:b w:val="false"/>
          <w:i w:val="false"/>
          <w:color w:val="000000"/>
          <w:sz w:val="21"/>
        </w:rPr>
        <w:t xml:space="preserve"> (Notice ARC 6017C, IAB 11/3/21)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6375C</w:t>
      </w:r>
      <w:r>
        <w:rPr>
          <w:rFonts w:ascii="Times New Roman" w:hAnsi="Times New Roman"/>
          <w:b w:val="false"/>
          <w:i w:val="false"/>
          <w:color w:val="000000"/>
          <w:sz w:val="21"/>
        </w:rPr>
        <w:t xml:space="preserve"> (Notice ARC 6254C, IAB 3/23/22)</w:t>
      </w:r>
      <w:r>
        <w:rPr>
          <w:rFonts w:ascii="Times New Roman" w:hAnsi="Times New Roman"/>
          <w:b w:val="false"/>
          <w:i w:val="false"/>
          <w:color w:val="000000"/>
          <w:sz w:val="21"/>
        </w:rPr>
        <w:t>, IAB 6/29/22, effective 8/3/22]</w:t>
      </w:r>
    </w:p>
    <w:p>
      <w:pPr>
        <w:spacing w:before="0" w:after="0"/>
        <w:ind w:left="120"/>
        <w:jc w:val="center"/>
      </w:pPr>
      <w:r>
        <w:rPr>
          <w:rFonts w:ascii="Times New Roman" w:hAnsi="Times New Roman"/>
          <w:b w:val="false"/>
          <w:i w:val="false"/>
          <w:color w:val="000000"/>
          <w:sz w:val="21"/>
        </w:rPr>
        <w:t>[Filed ARC 7837C</w:t>
      </w:r>
      <w:r>
        <w:rPr>
          <w:rFonts w:ascii="Times New Roman" w:hAnsi="Times New Roman"/>
          <w:b w:val="false"/>
          <w:i w:val="false"/>
          <w:color w:val="000000"/>
          <w:sz w:val="21"/>
        </w:rPr>
        <w:t xml:space="preserve"> (Notice ARC 7257C,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1/22/25]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pdf" Type="http://schemas.openxmlformats.org/officeDocument/2006/relationships/hyperlink" Id="rId5"/>
    <Relationship TargetMode="External" Target="https://www.legis.iowa.gov/docs/ico/chapter/543D.pdf" Type="http://schemas.openxmlformats.org/officeDocument/2006/relationships/hyperlink" Id="rId6"/>
    <Relationship TargetMode="External" Target="https://www.legis.iowa.gov/docs/ico/chapter/543D.23.pdf" Type="http://schemas.openxmlformats.org/officeDocument/2006/relationships/hyperlink" Id="rId7"/>
    <Relationship TargetMode="External" Target="https://www.legis.iowa.gov/docs/ico/chapter/543D.pdf" Type="http://schemas.openxmlformats.org/officeDocument/2006/relationships/hyperlink" Id="rId8"/>
    <Relationship TargetMode="External" Target="https://www.legis.iowa.gov/docs/ico/chapter/543D.pdf" Type="http://schemas.openxmlformats.org/officeDocument/2006/relationships/hyperlink" Id="rId9"/>
    <Relationship TargetMode="External" Target="https://www.legis.iowa.gov/docs/ico/chapter/543D.pdf" Type="http://schemas.openxmlformats.org/officeDocument/2006/relationships/hyperlink" Id="rId10"/>
    <Relationship TargetMode="External" Target="https://www.legis.iowa.gov/docs/ico/chapter/543D.pdf" Type="http://schemas.openxmlformats.org/officeDocument/2006/relationships/hyperlink" Id="rId11"/>
    <Relationship TargetMode="External" Target="https://www.legis.iowa.gov/docs/ico/chapter/17A.4.pdf" Type="http://schemas.openxmlformats.org/officeDocument/2006/relationships/hyperlink" Id="rId12"/>
    <Relationship TargetMode="External" Target="https://www.legis.iowa.gov/docs/ico/chapter/17A.4.pdf" Type="http://schemas.openxmlformats.org/officeDocument/2006/relationships/hyperlink" Id="rId13"/>
    <Relationship TargetMode="External" Target="https://www.legis.iowa.gov/docs/iac/chapter/193F.4.pdf" Type="http://schemas.openxmlformats.org/officeDocument/2006/relationships/hyperlink" Id="rId14"/>
    <Relationship TargetMode="External" Target="https://www.legis.iowa.gov/docs/iac/chapter/193F.4.pdf" Type="http://schemas.openxmlformats.org/officeDocument/2006/relationships/hyperlink" Id="rId15"/>
    <Relationship TargetMode="External" Target="https://www.legis.iowa.gov/docs/iac/chapter/193F.5.pdf" Type="http://schemas.openxmlformats.org/officeDocument/2006/relationships/hyperlink" Id="rId16"/>
    <Relationship TargetMode="External" Target="https://www.legis.iowa.gov/docs/iac/chapter/193F.5.pdf" Type="http://schemas.openxmlformats.org/officeDocument/2006/relationships/hyperlink" Id="rId17"/>
    <Relationship TargetMode="External" Target="https://www.legis.iowa.gov/docs/ico/chapter/543D.pdf" Type="http://schemas.openxmlformats.org/officeDocument/2006/relationships/hyperlink" Id="rId18"/>
    <Relationship TargetMode="External" Target="https://www.legis.iowa.gov/docs/ico/chapter/543D.4.pdf" Type="http://schemas.openxmlformats.org/officeDocument/2006/relationships/hyperlink" Id="rId19"/>
    <Relationship TargetMode="External" Target="https://www.legis.iowa.gov/docs/ico/chapter/543D.5.pdf" Type="http://schemas.openxmlformats.org/officeDocument/2006/relationships/hyperlink" Id="rId20"/>
    <Relationship TargetMode="External" Target="https://www.legis.iowa.gov/docs/ico/chapter/543D.7.pdf" Type="http://schemas.openxmlformats.org/officeDocument/2006/relationships/hyperlink" Id="rId21"/>
    <Relationship TargetMode="External" Target="https://www.legis.iowa.gov/docs/ico/chapter/543D.17.pdf" Type="http://schemas.openxmlformats.org/officeDocument/2006/relationships/hyperlink" Id="rId22"/>
    <Relationship TargetMode="External" Target="https://www.legis.iowa.gov/docs/ico/chapter/543D.20.pdf" Type="http://schemas.openxmlformats.org/officeDocument/2006/relationships/hyperlink" Id="rId23"/>
    <Relationship TargetMode="External" Target="https://www.legis.iowa.gov/docs/ico/chapter/543D.22.pdf" Type="http://schemas.openxmlformats.org/officeDocument/2006/relationships/hyperlink" Id="rId24"/>
    <Relationship TargetMode="External" Target="https://www.legis.iowa.gov/docs/ico/chapter/272C.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