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OFFICES AND MANAGEMENT</w:t>
      </w:r>
    </w:p>
    <w:p>
      <w:pPr>
        <w:spacing w:before="0" w:after="0"/>
        <w:ind w:left="120"/>
        <w:jc w:val="center"/>
      </w:pPr>
      <w:r>
        <w:rPr>
          <w:rFonts w:ascii="Times New Roman" w:hAnsi="Times New Roman"/>
          <w:b w:val="false"/>
          <w:i w:val="false"/>
          <w:color w:val="000000"/>
          <w:sz w:val="14"/>
        </w:rPr>
        <w:t>[Prior to 9/4/02, see 193E—Ch 1 and 193E—2.14(543B) to 193E—2.17(543B)]</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193E—7.1</w:t>
      </w:r>
      <w:r>
        <w:rPr>
          <w:rFonts w:ascii="Times New Roman" w:hAnsi="Times New Roman"/>
          <w:b/>
          <w:i w:val="false"/>
          <w:color w:val="000000"/>
          <w:sz w:val="22"/>
        </w:rPr>
        <w:t xml:space="preserve">(543B) </w:t>
      </w:r>
      <w:r>
        <w:rPr>
          <w:rFonts w:ascii="Times New Roman" w:hAnsi="Times New Roman"/>
          <w:b/>
          <w:i w:val="false"/>
          <w:color w:val="000000"/>
          <w:sz w:val="22"/>
        </w:rPr>
        <w:t xml:space="preserve">Real estate offices and licenses needed.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Iowa resident real estate firm or self-employed broker maintains an office as provided in Iowa Code section </w:t>
      </w:r>
      <w:hyperlink r:id="rId5">
        <w:r>
          <w:rPr>
            <w:rStyle w:val="Hyperlink"/>
            <w:rFonts w:ascii="Times New Roman" w:hAnsi="Times New Roman"/>
            <w:b w:val="false"/>
            <w:i w:val="false"/>
            <w:color w:val="000000"/>
            <w:sz w:val="22"/>
          </w:rPr>
          <w:t>543B.31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A nonresident Iowa real estate broker or firm is not obligated to maintain a definite place of business within Iowa as provided in Iowa Code section </w:t>
      </w:r>
      <w:hyperlink r:id="rId6">
        <w:r>
          <w:rPr>
            <w:rStyle w:val="Hyperlink"/>
            <w:rFonts w:ascii="Times New Roman" w:hAnsi="Times New Roman"/>
            <w:b w:val="false"/>
            <w:i w:val="false"/>
            <w:color w:val="000000"/>
            <w:sz w:val="22"/>
          </w:rPr>
          <w:t>543B.22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val="false"/>
          <w:color w:val="000000"/>
          <w:sz w:val="22"/>
        </w:rPr>
        <w:t>Sharing office space. It is acceptable for more than one broker to operate in an office at the same address if each broker maintains all records and trust accounts separate from all the others. Each broker operates under a business name, which clearly identifies the broker as an individual within the group of brokers.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w:t>
      </w:r>
      <w:r>
        <w:rPr>
          <w:rFonts w:ascii="Times New Roman" w:hAnsi="Times New Roman"/>
          <w:b w:val="false"/>
          <w:i w:val="false"/>
          <w:color w:val="000000"/>
          <w:sz w:val="22"/>
        </w:rPr>
        <w:t> </w:t>
      </w:r>
      <w:r>
        <w:rPr>
          <w:rFonts w:ascii="Times New Roman" w:hAnsi="Times New Roman"/>
          <w:b w:val="false"/>
          <w:i w:val="false"/>
          <w:color w:val="000000"/>
          <w:sz w:val="22"/>
        </w:rPr>
        <w:t>Branch office. A licensed Iowa real estate firm or sole-proprietor broker maintaining a branch office displays a commission-issued branch office license in that location. The branch office license is issued in the name of the firm or sole-proprietor broker and includes the license number and the physical address of the branch office. The branch office license is issued at a reduced fee and has the same expiration date of the primary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real estate brokerage firm closes, the principal broker or a designated representative follows procedures as provided in </w:t>
      </w:r>
      <w:hyperlink r:id="rId7">
        <w:r>
          <w:rPr>
            <w:rStyle w:val="Hyperlink"/>
            <w:rFonts w:ascii="Times New Roman" w:hAnsi="Times New Roman"/>
            <w:b w:val="false"/>
            <w:i w:val="false"/>
            <w:color w:val="000000"/>
            <w:sz w:val="22"/>
          </w:rPr>
          <w:t>193E—Chapter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w:t>
      </w:r>
      <w:r>
        <w:rPr>
          <w:rFonts w:ascii="Times New Roman" w:hAnsi="Times New Roman"/>
          <w:b w:val="false"/>
          <w:i w:val="false"/>
          <w:color w:val="000000"/>
          <w:sz w:val="22"/>
        </w:rPr>
        <w:t> </w:t>
      </w:r>
      <w:r>
        <w:rPr>
          <w:rFonts w:ascii="Times New Roman" w:hAnsi="Times New Roman"/>
          <w:b w:val="false"/>
          <w:i w:val="false"/>
          <w:color w:val="000000"/>
          <w:sz w:val="22"/>
        </w:rPr>
        <w:t>A licensed officer of a corporation or partnership may be licensed as an officer or partner of more than one corporation or partnership. The main or primary license for which the full license fee was paid is maintained in active status to keep any additional licenses that were issued at a reduced fee active and in effect. A broker officer licensed to more than one corporation or partnership may be the designated broker of more than one corporation or partnership.</w:t>
      </w:r>
    </w:p>
    <w:p>
      <w:pPr>
        <w:spacing w:before="0" w:after="0"/>
        <w:ind w:left="120"/>
        <w:jc w:val="both"/>
      </w:pPr>
      <w:r>
        <w:rPr>
          <w:rFonts w:ascii="Times New Roman" w:hAnsi="Times New Roman"/>
          <w:b w:val="false"/>
          <w:i w:val="false"/>
          <w:color w:val="000000"/>
          <w:sz w:val="22"/>
        </w:rPr>
        <w:t>Continuing education is needed only for renewal of the main or primary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w:t>
      </w:r>
      <w:r>
        <w:rPr>
          <w:rFonts w:ascii="Times New Roman" w:hAnsi="Times New Roman"/>
          <w:b w:val="false"/>
          <w:i w:val="false"/>
          <w:color w:val="000000"/>
          <w:sz w:val="22"/>
        </w:rPr>
        <w:t> </w:t>
      </w:r>
      <w:r>
        <w:rPr>
          <w:rFonts w:ascii="Times New Roman" w:hAnsi="Times New Roman"/>
          <w:b w:val="false"/>
          <w:i w:val="false"/>
          <w:color w:val="000000"/>
          <w:sz w:val="22"/>
        </w:rPr>
        <w:t>When  a branch office closes, notice in writing, electronically or otherwise, shall be given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w:t>
      </w:r>
      <w:r>
        <w:rPr>
          <w:rFonts w:ascii="Times New Roman" w:hAnsi="Times New Roman"/>
          <w:b w:val="false"/>
          <w:i w:val="false"/>
          <w:color w:val="000000"/>
          <w:sz w:val="22"/>
        </w:rPr>
        <w:t> </w:t>
      </w:r>
      <w:r>
        <w:rPr>
          <w:rFonts w:ascii="Times New Roman" w:hAnsi="Times New Roman"/>
          <w:b w:val="false"/>
          <w:i w:val="false"/>
          <w:color w:val="000000"/>
          <w:sz w:val="22"/>
        </w:rPr>
        <w:t>Each actively licensed broker associate and salesperson is licensed under a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w:t>
      </w:r>
      <w:r>
        <w:rPr>
          <w:rFonts w:ascii="Times New Roman" w:hAnsi="Times New Roman"/>
          <w:b w:val="false"/>
          <w:i w:val="false"/>
          <w:color w:val="000000"/>
          <w:sz w:val="22"/>
        </w:rPr>
        <w:t> </w:t>
      </w:r>
      <w:r>
        <w:rPr>
          <w:rFonts w:ascii="Times New Roman" w:hAnsi="Times New Roman"/>
          <w:b w:val="false"/>
          <w:i w:val="false"/>
          <w:color w:val="000000"/>
          <w:sz w:val="22"/>
        </w:rPr>
        <w:t>A broker associate or salesperson may not be licensed under more than one broker during the same period of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193E—7.2</w:t>
      </w:r>
      <w:r>
        <w:rPr>
          <w:rFonts w:ascii="Times New Roman" w:hAnsi="Times New Roman"/>
          <w:b/>
          <w:i w:val="false"/>
          <w:color w:val="000000"/>
          <w:sz w:val="22"/>
        </w:rPr>
        <w:t xml:space="preserve">(543B) </w:t>
      </w:r>
      <w:r>
        <w:rPr>
          <w:rFonts w:ascii="Times New Roman" w:hAnsi="Times New Roman"/>
          <w:b/>
          <w:i w:val="false"/>
          <w:color w:val="000000"/>
          <w:sz w:val="22"/>
        </w:rPr>
        <w:t xml:space="preserve">Notification needed.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val="false"/>
          <w:color w:val="000000"/>
          <w:sz w:val="22"/>
        </w:rPr>
        <w:t xml:space="preserve">Partnerships, associations, and corporations are obligated to obtain a license before acting as a real estate broker. Failure of a broker to inform the commission in writing, electronic or otherwise, within five working days that the broker has formed a new partnership, association or corporation, or has changed the type of the business, is prima facie evidence of a violation of Iowa Code section </w:t>
      </w:r>
      <w:hyperlink r:id="rId8">
        <w:r>
          <w:rPr>
            <w:rStyle w:val="Hyperlink"/>
            <w:rFonts w:ascii="Times New Roman" w:hAnsi="Times New Roman"/>
            <w:b w:val="false"/>
            <w:i w:val="false"/>
            <w:color w:val="000000"/>
            <w:sz w:val="22"/>
          </w:rPr>
          <w:t>543B.1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broker to inform the commission in writing, electronic or otherwise, within five working days of a change in type of license as sole-proprietor broker, partner, officer or broker associate is prima facie evidence of a violation of Iowa Code sections </w:t>
      </w:r>
      <w:hyperlink r:id="rId9">
        <w:r>
          <w:rPr>
            <w:rStyle w:val="Hyperlink"/>
            <w:rFonts w:ascii="Times New Roman" w:hAnsi="Times New Roman"/>
            <w:b w:val="false"/>
            <w:i w:val="false"/>
            <w:color w:val="000000"/>
            <w:sz w:val="22"/>
          </w:rPr>
          <w:t>543B.1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543B.29(1)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broker to inform the commission in writing, electronic or otherwise, within five working days of a change of address of a proprietorship, partnership, or corporation is prima facie evidence of a violation of Iowa Code section </w:t>
      </w:r>
      <w:hyperlink r:id="rId11">
        <w:r>
          <w:rPr>
            <w:rStyle w:val="Hyperlink"/>
            <w:rFonts w:ascii="Times New Roman" w:hAnsi="Times New Roman"/>
            <w:b w:val="false"/>
            <w:i w:val="false"/>
            <w:color w:val="000000"/>
            <w:sz w:val="22"/>
          </w:rPr>
          <w:t>543B.32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broker to return a license electronically to the commission office to ensure that it is received within 72 hours after a salesperson or broker associate is discharged or terminates employment is prima facie evidence of a violation of Iowa Code section </w:t>
      </w:r>
      <w:hyperlink r:id="rId12">
        <w:r>
          <w:rPr>
            <w:rStyle w:val="Hyperlink"/>
            <w:rFonts w:ascii="Times New Roman" w:hAnsi="Times New Roman"/>
            <w:b w:val="false"/>
            <w:i w:val="false"/>
            <w:color w:val="000000"/>
            <w:sz w:val="22"/>
          </w:rPr>
          <w:t>543B.33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licensee to inform the commission in writing, electronic or otherwise, within five working days of a change of residence address or mailing address is prima facie evidence of a violation of Iowa Code sections </w:t>
      </w:r>
      <w:hyperlink r:id="rId13">
        <w:r>
          <w:rPr>
            <w:rStyle w:val="Hyperlink"/>
            <w:rFonts w:ascii="Times New Roman" w:hAnsi="Times New Roman"/>
            <w:b w:val="false"/>
            <w:i w:val="false"/>
            <w:color w:val="000000"/>
            <w:sz w:val="22"/>
          </w:rPr>
          <w:t>543B.16</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543B.18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193E—7.3</w:t>
      </w:r>
      <w:r>
        <w:rPr>
          <w:rFonts w:ascii="Times New Roman" w:hAnsi="Times New Roman"/>
          <w:b/>
          <w:i w:val="false"/>
          <w:color w:val="000000"/>
          <w:sz w:val="22"/>
        </w:rPr>
        <w:t xml:space="preserve">(543B) </w:t>
      </w:r>
      <w:r>
        <w:rPr>
          <w:rFonts w:ascii="Times New Roman" w:hAnsi="Times New Roman"/>
          <w:b/>
          <w:i w:val="false"/>
          <w:color w:val="000000"/>
          <w:sz w:val="22"/>
        </w:rPr>
        <w:t xml:space="preserve">Suspended and revoked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val="false"/>
          <w:color w:val="000000"/>
          <w:sz w:val="22"/>
        </w:rPr>
        <w:t xml:space="preserve">As of the effective date of a suspended or revoked license, the licensee cannot engage in any activity that needs a real estate license as defined in Iowa Code chapter </w:t>
      </w:r>
      <w:hyperlink r:id="rId1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val="false"/>
          <w:color w:val="000000"/>
          <w:sz w:val="22"/>
        </w:rPr>
        <w:t>When a sole-proprietor broker, corporation or partnership license is suspended or revoked, all licensees associated with or assigned to that sole-proprietor broker, corporation or partnership are automatically placed on inactive status for the duration of the suspension or revocation, unless transferred to another sole-proprietor broker, corporation or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suspension or revocation is determined, the commission also determines whether the corporation or partnership license is automatically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broker whose license is suspended or revoked is the only licensed broker officer of a corporation, the corporation license will automatically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val="false"/>
          <w:color w:val="000000"/>
          <w:sz w:val="22"/>
        </w:rPr>
        <w:t>A licensee whose license is suspended or revoked may receive compensation during the period of suspension or revocation only for those acts performed and for which compensation was earned when the person was actively licensed prior to the effective date of the suspension or revocation.</w:t>
      </w:r>
    </w:p>
    <w:p>
      <w:pPr>
        <w:spacing w:before="0" w:after="0"/>
        <w:ind w:left="120"/>
        <w:jc w:val="both"/>
      </w:pPr>
      <w:r>
        <w:rPr>
          <w:rFonts w:ascii="Times New Roman" w:hAnsi="Times New Roman"/>
          <w:b w:val="false"/>
          <w:i w:val="false"/>
          <w:color w:val="000000"/>
          <w:sz w:val="22"/>
        </w:rPr>
        <w:t>This rule does not determine if a licensee is entitled to compensation; such entitlement would depend upon the licensee’s written employment or association agreement with the former affiliated broker and is a matter of contract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val="false"/>
          <w:color w:val="000000"/>
          <w:sz w:val="22"/>
        </w:rPr>
        <w:t>All listings and property management agreements are canceled by the broker whose license is suspended or revoked upon receipt of the order of revocation or suspension and prior to the effective date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seller or landlord, or buyer or tenant, are advised that the seller or landlord, or buyer or tenant, may enter into a listing or brokerage agreement with another broker of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broker whose license is suspended or revoked cannot sell or assign listings or management agreements to another broker without the written consent of the owner of the property, and any sale or assignment of listings or management agreements are completed prior to the effective date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w:t>
      </w:r>
      <w:r>
        <w:rPr>
          <w:rFonts w:ascii="Times New Roman" w:hAnsi="Times New Roman"/>
          <w:b w:val="false"/>
          <w:i w:val="false"/>
          <w:color w:val="000000"/>
          <w:sz w:val="22"/>
        </w:rPr>
        <w:t> </w:t>
      </w:r>
      <w:r>
        <w:rPr>
          <w:rFonts w:ascii="Times New Roman" w:hAnsi="Times New Roman"/>
          <w:b w:val="false"/>
          <w:i w:val="false"/>
          <w:color w:val="000000"/>
          <w:sz w:val="22"/>
        </w:rPr>
        <w:t>A broker whose license is suspended or revoked cannot finalize any pending closings. This responsibility is given to another broker, an attorney, a financial institution, or an escrow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Transfer of this responsibility is done with the written approval of all parties to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parties to the transaction are advised of the facts concerning the situation and are provided the name, address, and telephone number of the responsible entity where all trust and escrow moneys will be held, with the written approval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w:t>
      </w:r>
      <w:r>
        <w:rPr>
          <w:rFonts w:ascii="Times New Roman" w:hAnsi="Times New Roman"/>
          <w:b w:val="false"/>
          <w:i w:val="false"/>
          <w:color w:val="000000"/>
          <w:sz w:val="22"/>
        </w:rPr>
        <w:t> </w:t>
      </w:r>
      <w:r>
        <w:rPr>
          <w:rFonts w:ascii="Times New Roman" w:hAnsi="Times New Roman"/>
          <w:b w:val="false"/>
          <w:i w:val="false"/>
          <w:color w:val="000000"/>
          <w:sz w:val="22"/>
        </w:rPr>
        <w:t>A broker whose license is suspended or revoked is barred from advertising real estate in any manner as a broker. All advertising, including but not limited to signs, is removed or covered within ten calendar days after the effective date of the suspension or revocation.</w:t>
      </w:r>
    </w:p>
    <w:p>
      <w:pPr>
        <w:spacing w:before="0" w:after="0"/>
        <w:ind w:left="120"/>
        <w:jc w:val="both"/>
      </w:pPr>
      <w:r>
        <w:rPr>
          <w:rFonts w:ascii="Times New Roman" w:hAnsi="Times New Roman"/>
          <w:b w:val="false"/>
          <w:i w:val="false"/>
          <w:color w:val="000000"/>
          <w:sz w:val="22"/>
        </w:rPr>
        <w:t>The real estate brokerage telephone is not answered in any manner to indicate the broker is active in the real estate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193E—7.4</w:t>
      </w:r>
      <w:r>
        <w:rPr>
          <w:rFonts w:ascii="Times New Roman" w:hAnsi="Times New Roman"/>
          <w:b/>
          <w:i w:val="false"/>
          <w:color w:val="000000"/>
          <w:sz w:val="22"/>
        </w:rPr>
        <w:t xml:space="preserve">(543B) </w:t>
      </w:r>
      <w:r>
        <w:rPr>
          <w:rFonts w:ascii="Times New Roman" w:hAnsi="Times New Roman"/>
          <w:b/>
          <w:i w:val="false"/>
          <w:color w:val="000000"/>
          <w:sz w:val="22"/>
        </w:rPr>
        <w:t xml:space="preserve">Barred practices. </w:t>
      </w:r>
      <w:r>
        <w:rPr>
          <w:rFonts w:ascii="Times New Roman" w:hAnsi="Times New Roman"/>
          <w:b w:val="false"/>
          <w:i w:val="false"/>
          <w:color w:val="000000"/>
          <w:sz w:val="22"/>
        </w:rPr>
        <w:t xml:space="preserve">For purposes of this rule, only the term “real estate licensee” means “real estate broker or real estate salesperson” as defined in Iowa Code chapter </w:t>
      </w:r>
      <w:hyperlink r:id="rId16">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 licensee participating in any of the practices described in this rule is deemed to be engaging in unethical conduct and a practice harmful or detrimental to the public within the meaning of Iowa Code section </w:t>
      </w:r>
      <w:hyperlink r:id="rId17">
        <w:r>
          <w:rPr>
            <w:rStyle w:val="Hyperlink"/>
            <w:rFonts w:ascii="Times New Roman" w:hAnsi="Times New Roman"/>
            <w:b w:val="false"/>
            <w:i w:val="false"/>
            <w:color w:val="000000"/>
            <w:sz w:val="22"/>
          </w:rPr>
          <w:t>543B.29(1)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needs or conditions, in connection with the sale of a lot, that the real estate licensee receive from the homebuilder an exclusive right to sell or list the house to be constructed on the 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agrees to sell lots on behalf of a developer on the condition that the developer obligates each homebuilder purchasing such a lot to list the house to be constructed with the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in connection with the sale of a lot to a consumer or homebuilder, obligates the consumer or homebuilder to pay a commission on the value of the house to be constructed on the 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val="false"/>
          <w:color w:val="000000"/>
          <w:sz w:val="22"/>
        </w:rPr>
        <w:t>Any arrangement pursuant to which the sale of real estate to a prospective purchaser is conditioned upon the listing of real estate owned by the prospective purchaser with the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in connection with the sale of a lot to a consumer, obligates the consumer to use a specified homebuilder to build the house to be constructed on the 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7.4(6)</w:t>
      </w:r>
      <w:r>
        <w:rPr>
          <w:rFonts w:ascii="Times New Roman" w:hAnsi="Times New Roman"/>
          <w:b w:val="false"/>
          <w:i w:val="false"/>
          <w:color w:val="000000"/>
          <w:sz w:val="22"/>
        </w:rPr>
        <w:t> </w:t>
      </w:r>
      <w:r>
        <w:rPr>
          <w:rFonts w:ascii="Times New Roman" w:hAnsi="Times New Roman"/>
          <w:b w:val="false"/>
          <w:i w:val="false"/>
          <w:color w:val="000000"/>
          <w:sz w:val="22"/>
        </w:rPr>
        <w:t>Any arrangement in which a real estate licensee enters into an agreement with a mortgage broker, bank, savings and loan, or other financial institution pursuant to which the making of a loan is directly or indirectly conditioned upon payment of a real estate commission to the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7.4(7)</w:t>
      </w:r>
      <w:r>
        <w:rPr>
          <w:rFonts w:ascii="Times New Roman" w:hAnsi="Times New Roman"/>
          <w:b w:val="false"/>
          <w:i w:val="false"/>
          <w:color w:val="000000"/>
          <w:sz w:val="22"/>
        </w:rPr>
        <w:t> </w:t>
      </w:r>
      <w:r>
        <w:rPr>
          <w:rFonts w:ascii="Times New Roman" w:hAnsi="Times New Roman"/>
          <w:b w:val="false"/>
          <w:i w:val="false"/>
          <w:color w:val="000000"/>
          <w:sz w:val="22"/>
        </w:rPr>
        <w:t>Any arrangement pursuant to which a real estate licensee who is affiliated with a mortgage broker, bank, savings and loan association or other financial institution benefits from the practice by the affiliated financial institution of granting mortgage loans or any other loan or financial services or the availability of other benefits directly or indirectly conditioned upon the use of the real estate services of the affiliated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7.4(8)</w:t>
      </w:r>
      <w:r>
        <w:rPr>
          <w:rFonts w:ascii="Times New Roman" w:hAnsi="Times New Roman"/>
          <w:b w:val="false"/>
          <w:i w:val="false"/>
          <w:color w:val="000000"/>
          <w:sz w:val="22"/>
        </w:rPr>
        <w:t> </w:t>
      </w:r>
      <w:r>
        <w:rPr>
          <w:rFonts w:ascii="Times New Roman" w:hAnsi="Times New Roman"/>
          <w:b w:val="false"/>
          <w:i w:val="false"/>
          <w:color w:val="000000"/>
          <w:sz w:val="22"/>
        </w:rPr>
        <w:t xml:space="preserve">Any arrangement barred by Iowa Code section </w:t>
      </w:r>
      <w:hyperlink r:id="rId18">
        <w:r>
          <w:rPr>
            <w:rStyle w:val="Hyperlink"/>
            <w:rFonts w:ascii="Times New Roman" w:hAnsi="Times New Roman"/>
            <w:b w:val="false"/>
            <w:i w:val="false"/>
            <w:color w:val="000000"/>
            <w:sz w:val="22"/>
          </w:rPr>
          <w:t>543B.60A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only to regulate the licensing of real estate licensees in the state of Iowa. This rule is not intended nor should it be interpreted to supplant Iowa Code chapter </w:t>
      </w:r>
      <w:hyperlink r:id="rId19">
        <w:r>
          <w:rPr>
            <w:rStyle w:val="Hyperlink"/>
            <w:rFonts w:ascii="Times New Roman" w:hAnsi="Times New Roman"/>
            <w:b w:val="false"/>
            <w:i w:val="false"/>
            <w:color w:val="000000"/>
            <w:sz w:val="22"/>
          </w:rPr>
          <w:t>553</w:t>
        </w:r>
      </w:hyperlink>
      <w:r>
        <w:rPr>
          <w:rFonts w:ascii="Times New Roman" w:hAnsi="Times New Roman"/>
          <w:b w:val="false"/>
          <w:i w:val="false"/>
          <w:color w:val="000000"/>
          <w:sz w:val="22"/>
        </w:rPr>
        <w:t xml:space="preserve"> (Iowa Competition Law) or as authorizing or approving business practices which are not specifically barred in this rule. The commission, upon receipt of any formal written complaint filed against a licensee alleging a violation of this rule, in addition to evaluating such complaint for license revocation or suspension under Iowa Code chapter </w:t>
      </w:r>
      <w:hyperlink r:id="rId20">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forwards a copy of such complaint to the attorney general of the state of Iowa and to the United States Attorney for investigation and appropriate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193E—7.5</w:t>
      </w:r>
      <w:r>
        <w:rPr>
          <w:rFonts w:ascii="Times New Roman" w:hAnsi="Times New Roman"/>
          <w:b/>
          <w:i w:val="false"/>
          <w:color w:val="000000"/>
          <w:sz w:val="22"/>
        </w:rPr>
        <w:t xml:space="preserve">(543B) </w:t>
      </w:r>
      <w:r>
        <w:rPr>
          <w:rFonts w:ascii="Times New Roman" w:hAnsi="Times New Roman"/>
          <w:b/>
          <w:i w:val="false"/>
          <w:color w:val="000000"/>
          <w:sz w:val="22"/>
        </w:rPr>
        <w:t xml:space="preserve">Loan finder fees. </w:t>
      </w:r>
      <w:r>
        <w:rPr>
          <w:rFonts w:ascii="Times New Roman" w:hAnsi="Times New Roman"/>
          <w:b w:val="false"/>
          <w:i w:val="false"/>
          <w:color w:val="000000"/>
          <w:sz w:val="22"/>
        </w:rPr>
        <w:t xml:space="preserve">The acceptance of a fee or anything of value by a real estate licensee from a lender or financing company for the referral or steering of a client to the lender for a loan is considered not in the best interest of the public and constitutes a violation of Iowa Code sections </w:t>
      </w:r>
      <w:hyperlink r:id="rId21">
        <w:r>
          <w:rPr>
            <w:rStyle w:val="Hyperlink"/>
            <w:rFonts w:ascii="Times New Roman" w:hAnsi="Times New Roman"/>
            <w:b w:val="false"/>
            <w:i w:val="false"/>
            <w:color w:val="000000"/>
            <w:sz w:val="22"/>
          </w:rPr>
          <w:t>543B.29(3)</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543B.34(8)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193E—7.6</w:t>
      </w:r>
      <w:r>
        <w:rPr>
          <w:rFonts w:ascii="Times New Roman" w:hAnsi="Times New Roman"/>
          <w:b/>
          <w:i w:val="false"/>
          <w:color w:val="000000"/>
          <w:sz w:val="22"/>
        </w:rPr>
        <w:t xml:space="preserve">(543B) </w:t>
      </w:r>
      <w:r>
        <w:rPr>
          <w:rFonts w:ascii="Times New Roman" w:hAnsi="Times New Roman"/>
          <w:b/>
          <w:i w:val="false"/>
          <w:color w:val="000000"/>
          <w:sz w:val="22"/>
        </w:rPr>
        <w:t xml:space="preserve">Lotteries barred. </w:t>
      </w:r>
      <w:r>
        <w:rPr>
          <w:rFonts w:ascii="Times New Roman" w:hAnsi="Times New Roman"/>
          <w:b w:val="false"/>
          <w:i w:val="false"/>
          <w:color w:val="000000"/>
          <w:sz w:val="22"/>
        </w:rPr>
        <w:t>Licensees cannot engage in lotteries and schemes of sales involving selling of certificates, chances or other devices, whereby the purchaser is to receive property to be selected in an order to be determined by chance or by some means other than the order of prior sale, or whereby property more or less valuable will be secured according to chance or the amount of sales made, or whereby the price will depend upon chance or the amount of sales made, or whereby the buyer or tenant will not receive, rent, or lease any property. Such activities are declared to be methods by reason of which the public interests are endangered.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193E—7.7</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 needed to furnish progress report. </w:t>
      </w:r>
      <w:r>
        <w:rPr>
          <w:rFonts w:ascii="Times New Roman" w:hAnsi="Times New Roman"/>
          <w:b w:val="false"/>
          <w:i w:val="false"/>
          <w:color w:val="000000"/>
          <w:sz w:val="22"/>
        </w:rPr>
        <w:t>After an offer to buy has been made by a buyer and accepted by a seller, either party may demand at reasonable intervals and the broker furnishes a detailed statement showing the current status of the transaction.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193E—7.8</w:t>
      </w:r>
      <w:r>
        <w:rPr>
          <w:rFonts w:ascii="Times New Roman" w:hAnsi="Times New Roman"/>
          <w:b/>
          <w:i w:val="false"/>
          <w:color w:val="000000"/>
          <w:sz w:val="22"/>
        </w:rPr>
        <w:t xml:space="preserve">(543B) </w:t>
      </w:r>
      <w:r>
        <w:rPr>
          <w:rFonts w:ascii="Times New Roman" w:hAnsi="Times New Roman"/>
          <w:b/>
          <w:i w:val="false"/>
          <w:color w:val="000000"/>
          <w:sz w:val="22"/>
        </w:rPr>
        <w:t xml:space="preserve">Disclosure of licensee interest, acting as a principal, and status as a licensee. </w:t>
      </w:r>
      <w:r>
        <w:rPr>
          <w:rFonts w:ascii="Times New Roman" w:hAnsi="Times New Roman"/>
          <w:b w:val="false"/>
          <w:i w:val="false"/>
          <w:color w:val="000000"/>
          <w:sz w:val="22"/>
        </w:rPr>
        <w:t xml:space="preserve">A licensee cannot act in a transaction on the licensee’s own behalf, on behalf of the licensee’s immediate family, or on behalf of the brokerage, or on behalf of an organization or business entity in which the licensee has an interest, unless the licensee provides written disclosure of that interest to all parties to the transaction in accordance with Iowa Code section </w:t>
      </w:r>
      <w:hyperlink r:id="rId23">
        <w:r>
          <w:rPr>
            <w:rStyle w:val="Hyperlink"/>
            <w:rFonts w:ascii="Times New Roman" w:hAnsi="Times New Roman"/>
            <w:b w:val="false"/>
            <w:i w:val="false"/>
            <w:color w:val="000000"/>
            <w:sz w:val="22"/>
          </w:rPr>
          <w:t>543B.56(3)</w:t>
        </w:r>
      </w:hyperlink>
      <w:r>
        <w:rPr>
          <w:rFonts w:ascii="Times New Roman" w:hAnsi="Times New Roman"/>
          <w:b w:val="false"/>
          <w:i/>
          <w:color w:val="000000"/>
          <w:sz w:val="22"/>
        </w:rPr>
        <w:t>“b.”</w:t>
      </w:r>
      <w:r>
        <w:rPr>
          <w:rFonts w:ascii="Times New Roman" w:hAnsi="Times New Roman"/>
          <w:b w:val="false"/>
          <w:i w:val="false"/>
          <w:color w:val="000000"/>
          <w:sz w:val="22"/>
        </w:rPr>
        <w:t xml:space="preserve"> Disclosure obligated under this rule is made at the time of or prior to the licensee’s providing specific assistance to the party or parties to the transaction. Copies of the disclosure may be provided in person, electronically or by mail, as soon as reasonably practical. If no specific assistance is provided, disclosure is provided prior to the parties’ forming a legally binding contract, either prior to an offer made by the buyer or tenant or prior to an acceptance by the seller or landlord,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color w:val="000000"/>
          <w:sz w:val="22"/>
        </w:rPr>
        <w:t xml:space="preserve">Licensee acting as a principal. </w:t>
      </w:r>
      <w:r>
        <w:rPr>
          <w:rFonts w:ascii="Times New Roman" w:hAnsi="Times New Roman"/>
          <w:b w:val="false"/>
          <w:i w:val="false"/>
          <w:color w:val="000000"/>
          <w:sz w:val="22"/>
        </w:rPr>
        <w:t>A licensee cannot acquire any interest in any property, directly or indirectly, nor can the licensee sell any interest in which the licensee, directly or indirectly, has an interest without first making written disclosure of the licensee’s true position clear to the other party. Satisfactory proof of this disclosure is produced by the licensee upon request of the commission. Whenever a licensee is in doubt as to whether an interest, relationship, association, or affiliation obligates disclosure under this rule, the safest course of action is to make the written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color w:val="000000"/>
          <w:sz w:val="22"/>
        </w:rPr>
        <w:t xml:space="preserve">Status as a licensee. </w:t>
      </w:r>
      <w:r>
        <w:rPr>
          <w:rFonts w:ascii="Times New Roman" w:hAnsi="Times New Roman"/>
          <w:b w:val="false"/>
          <w:i w:val="false"/>
          <w:color w:val="000000"/>
          <w:sz w:val="22"/>
        </w:rPr>
        <w:t>Before buying, selling, or leasing real estate as described above, the licensee discloses in writing any ownership, or other interest, which the licensee has or will have and the licensee’s status to all parties to the transaction. An inactive status license does not exempt a licensee from providing the obligated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color w:val="000000"/>
          <w:sz w:val="22"/>
        </w:rPr>
        <w:t xml:space="preserve">Dual capacity. </w:t>
      </w:r>
      <w:r>
        <w:rPr>
          <w:rFonts w:ascii="Times New Roman" w:hAnsi="Times New Roman"/>
          <w:b w:val="false"/>
          <w:i w:val="false"/>
          <w:color w:val="000000"/>
          <w:sz w:val="22"/>
        </w:rPr>
        <w:t>The licensee does not act in a dual capacity of agent and undisclosed principal in any transaction.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193E—7.9</w:t>
      </w:r>
      <w:r>
        <w:rPr>
          <w:rFonts w:ascii="Times New Roman" w:hAnsi="Times New Roman"/>
          <w:b/>
          <w:i w:val="false"/>
          <w:color w:val="000000"/>
          <w:sz w:val="22"/>
        </w:rPr>
        <w:t xml:space="preserve">(543B) </w:t>
      </w:r>
      <w:r>
        <w:rPr>
          <w:rFonts w:ascii="Times New Roman" w:hAnsi="Times New Roman"/>
          <w:b/>
          <w:i w:val="false"/>
          <w:color w:val="000000"/>
          <w:sz w:val="22"/>
        </w:rPr>
        <w:t xml:space="preserve">Financial interest disclosure needed. </w:t>
      </w:r>
      <w:r>
        <w:rPr>
          <w:rFonts w:ascii="Times New Roman" w:hAnsi="Times New Roman"/>
          <w:b w:val="false"/>
          <w:i w:val="false"/>
          <w:color w:val="000000"/>
          <w:sz w:val="22"/>
        </w:rPr>
        <w:t>A licensee who has any affiliated business arrangement or relationship with any provider of settlement services, as defined below, and directly or indirectly refers business to that provider or affirmatively influences the selection of that provider discloses the arrangement and any financial interest to the person whose business is being referred or influenced. The obligated disclosure is acknowledged by the separate signatures of the person or persons whose business is being referred or influenced. The disclosure is given and signed before or at substantially the same time that the business is referred or the provider is selected. If the disclosure is made on a separate form, the licensee retains a copy of the signed disclosure in the transaction file for a period of five years after the execution.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val="false"/>
          <w:color w:val="000000"/>
          <w:sz w:val="22"/>
        </w:rPr>
        <w:t>An affiliated business arrangement means an arrangement in which a real estate licensee, or an associate of a real estate licensee, has either an affiliate relationship with or a direct or beneficial ownership interest of more than 1 percent in the business entity providing the service or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associate means one who has one or more of the following relationships with a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spouse, parent, or child of a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corporation or business entity that controls, is controlled by, or is under common control with a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employee, officer, director, partner, franchiser or franchisee of a real estate licensee;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Anyone who has an agreement, arrangement or understanding with a real estate licensee or brokerage, the purpose or substantial effect of which is to enable the real estate licensee to refer for any service, settlement service, or business or product related to the transaction and to benefit financially from the referral of that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Settlement services include services in connection with a real estate transaction including, but not limited to, the following: mortgage or other financing; title searches; title examinations; the provisions of title certificates, title insurance, hazard insurance; services rendered by an attorney; the preparation of documents; property surveys; the rendering of credit reports or appraisals; pest, fungus, mechanical or other inspections; services rendered by a real estate agent or broker; and the handling of the processing and closing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affiliated business arrangement does not include an arrangement in which a real estate licensee, or an associate of a real estate licensee, gives or pays an undisclosed commission in a transaction to any other licensee for a referral to provide real estate brokerage services, including franchise affiliates, if there is no direct or beneficial ownership interest of more than 1 percent in the business entity providing the service. Referral fees or commissions paid by a licensee to another licensee under these conditions are exempted from the disclosure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val="false"/>
          <w:color w:val="000000"/>
          <w:sz w:val="22"/>
        </w:rPr>
        <w:t>No particular language is needed for the disclosure. To assist real estate licensees and the public, the commission recommends the following sample language: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485"/>
        <w:gridCol w:w="1685"/>
        <w:gridCol w:w="7019"/>
      </w:tblGrid>
      <w:tr>
        <w:trPr>
          <w:trHeight w:val="1890" w:hRule="atLeast"/>
        </w:trPr>
        <w:tc>
          <w:tcPr>
            <w:tcW w:w="0" w:type="auto"/>
            <w:gridSpan w:val="3"/>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DISCLOSURE OF REFERRAL OF BUSINESS</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I understand that ___</w:t>
            </w:r>
            <w:r>
              <w:rPr>
                <w:rFonts w:ascii="Times New Roman" w:hAnsi="Times New Roman"/>
                <w:b w:val="false"/>
                <w:i w:val="false"/>
                <w:color w:val="000000"/>
                <w:sz w:val="16"/>
                <w:u w:val="single"/>
              </w:rPr>
              <w:t>(name of real estate licensee)</w:t>
            </w:r>
            <w:r>
              <w:rPr>
                <w:rFonts w:ascii="Times New Roman" w:hAnsi="Times New Roman"/>
                <w:b w:val="false"/>
                <w:i w:val="false"/>
                <w:color w:val="000000"/>
                <w:sz w:val="16"/>
              </w:rPr>
              <w:t>____ has an affiliate relationship with or owns an interest in ____</w:t>
            </w:r>
            <w:r>
              <w:rPr>
                <w:rFonts w:ascii="Times New Roman" w:hAnsi="Times New Roman"/>
                <w:b w:val="false"/>
                <w:i w:val="false"/>
                <w:color w:val="000000"/>
                <w:sz w:val="16"/>
                <w:u w:val="single"/>
              </w:rPr>
              <w:t>(name of company to which business is being referred)</w:t>
            </w:r>
            <w:r>
              <w:rPr>
                <w:rFonts w:ascii="Times New Roman" w:hAnsi="Times New Roman"/>
                <w:b w:val="false"/>
                <w:i w:val="false"/>
                <w:color w:val="000000"/>
                <w:sz w:val="16"/>
              </w:rPr>
              <w:t>___ and is also recommending that I employ this company for _______________</w:t>
            </w:r>
            <w:r>
              <w:rPr>
                <w:rFonts w:ascii="Times New Roman" w:hAnsi="Times New Roman"/>
                <w:b w:val="false"/>
                <w:i w:val="false"/>
                <w:color w:val="000000"/>
                <w:sz w:val="16"/>
                <w:u w:val="single"/>
              </w:rPr>
              <w:t>(type of service)</w:t>
            </w:r>
            <w:r>
              <w:rPr>
                <w:rFonts w:ascii="Times New Roman" w:hAnsi="Times New Roman"/>
                <w:b w:val="false"/>
                <w:i w:val="false"/>
                <w:color w:val="000000"/>
                <w:sz w:val="16"/>
              </w:rPr>
              <w:t>_______________.</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I understand that ____</w:t>
            </w:r>
            <w:r>
              <w:rPr>
                <w:rFonts w:ascii="Times New Roman" w:hAnsi="Times New Roman"/>
                <w:b w:val="false"/>
                <w:i w:val="false"/>
                <w:color w:val="000000"/>
                <w:sz w:val="16"/>
                <w:u w:val="single"/>
              </w:rPr>
              <w:t>(name of real estate licensee)</w:t>
            </w:r>
            <w:r>
              <w:rPr>
                <w:rFonts w:ascii="Times New Roman" w:hAnsi="Times New Roman"/>
                <w:b w:val="false"/>
                <w:i w:val="false"/>
                <w:color w:val="000000"/>
                <w:sz w:val="16"/>
              </w:rPr>
              <w:t>_____ may earn financial benefits from my use of this company. I understand that I am not obligated to use this company, and may select a different company if I wish to do so. This form has been fully explained to me and I have received a copy.</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r>
      <w:tr>
        <w:trPr>
          <w:trHeight w:val="225" w:hRule="atLeast"/>
        </w:trPr>
        <w:tc>
          <w:tcPr>
            <w:tcW w:w="24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48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(Date)</w:t>
            </w:r>
          </w:p>
        </w:tc>
        <w:tc>
          <w:tcPr>
            <w:tcW w:w="16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1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(Signature of person whose business is being referred)</w:t>
            </w:r>
          </w:p>
        </w:tc>
      </w:tr>
      <w:tr>
        <w:trPr>
          <w:trHeight w:val="225"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val="false"/>
          <w:color w:val="000000"/>
          <w:sz w:val="22"/>
        </w:rPr>
        <w:t>The term “franchise” has the same meaning as set forth in 24 CFR Chapter XX, Section 3500.15(c) as of April 1995.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w:t>
      </w:r>
      <w:r>
        <w:rPr>
          <w:rFonts w:ascii="Times New Roman" w:hAnsi="Times New Roman"/>
          <w:b w:val="false"/>
          <w:i w:val="false"/>
          <w:color w:val="000000"/>
          <w:sz w:val="22"/>
        </w:rPr>
        <w:t> </w:t>
      </w:r>
      <w:r>
        <w:rPr>
          <w:rFonts w:ascii="Times New Roman" w:hAnsi="Times New Roman"/>
          <w:b w:val="false"/>
          <w:i w:val="false"/>
          <w:color w:val="000000"/>
          <w:sz w:val="22"/>
        </w:rPr>
        <w:t>The term “affiliate relationship” means the relationship among business entities where one entity has effective control over the other by virtue of a partnership or other agreement or is under common control with the other by a third entity or where an entity is a corporation related to another corporation as parent to subsidiary by an identity of stock ownership.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7.9(5)</w:t>
      </w:r>
      <w:r>
        <w:rPr>
          <w:rFonts w:ascii="Times New Roman" w:hAnsi="Times New Roman"/>
          <w:b w:val="false"/>
          <w:i w:val="false"/>
          <w:color w:val="000000"/>
          <w:sz w:val="22"/>
        </w:rPr>
        <w:t> </w:t>
      </w:r>
      <w:r>
        <w:rPr>
          <w:rFonts w:ascii="Times New Roman" w:hAnsi="Times New Roman"/>
          <w:b w:val="false"/>
          <w:i w:val="false"/>
          <w:color w:val="000000"/>
          <w:sz w:val="22"/>
        </w:rPr>
        <w:t>The term “beneficial ownership” means the effective ownership of an interest in a provider of settlement services or the right to use and control the ownership interest involved even though legal ownership or title may be held in another person’s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w:t>
      </w:r>
      <w:r>
        <w:rPr>
          <w:rFonts w:ascii="Times New Roman" w:hAnsi="Times New Roman"/>
          <w:b w:val="false"/>
          <w:i w:val="false"/>
          <w:color w:val="000000"/>
          <w:sz w:val="22"/>
        </w:rPr>
        <w:t> </w:t>
      </w:r>
      <w:r>
        <w:rPr>
          <w:rFonts w:ascii="Times New Roman" w:hAnsi="Times New Roman"/>
          <w:b w:val="false"/>
          <w:i w:val="false"/>
          <w:color w:val="000000"/>
          <w:sz w:val="22"/>
        </w:rPr>
        <w:t>The term “direct ownership” means the holding of legal title to an interest in a provider of settlement services except where title is being held for the beneficial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w:t>
      </w:r>
      <w:r>
        <w:rPr>
          <w:rFonts w:ascii="Times New Roman" w:hAnsi="Times New Roman"/>
          <w:b w:val="false"/>
          <w:i w:val="false"/>
          <w:color w:val="000000"/>
          <w:sz w:val="22"/>
        </w:rPr>
        <w:t> </w:t>
      </w:r>
      <w:r>
        <w:rPr>
          <w:rFonts w:ascii="Times New Roman" w:hAnsi="Times New Roman"/>
          <w:b w:val="false"/>
          <w:i w:val="false"/>
          <w:color w:val="000000"/>
          <w:sz w:val="22"/>
        </w:rPr>
        <w:t>The term “control” as used in the definition of “affiliate relationship” means that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 general partner, officer, director, or employer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Directly or indirectly or acting in concert with others, or through one or more subsidiaries, owns, holds with power to vote, or holds proxies representing more than 20 percent of the voting interests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Affirmatively influences in any manner the election of a majority of the directors of another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contributed more than 20 percent of the capital of the other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193E—7.10</w:t>
      </w:r>
      <w:r>
        <w:rPr>
          <w:rFonts w:ascii="Times New Roman" w:hAnsi="Times New Roman"/>
          <w:b/>
          <w:i w:val="false"/>
          <w:color w:val="000000"/>
          <w:sz w:val="22"/>
        </w:rPr>
        <w:t xml:space="preserve">(543B) </w:t>
      </w:r>
      <w:r>
        <w:rPr>
          <w:rFonts w:ascii="Times New Roman" w:hAnsi="Times New Roman"/>
          <w:b/>
          <w:i w:val="false"/>
          <w:color w:val="000000"/>
          <w:sz w:val="22"/>
        </w:rPr>
        <w:t xml:space="preserve">Agency-designated broker responsibilities. </w:t>
      </w:r>
      <w:r>
        <w:rPr>
          <w:rFonts w:ascii="Times New Roman" w:hAnsi="Times New Roman"/>
          <w:b w:val="false"/>
          <w:i w:val="false"/>
          <w:color w:val="000000"/>
          <w:sz w:val="22"/>
        </w:rPr>
        <w:t xml:space="preserve">The following conditions and circumstances, together with the education and experience of licensed and unlicensed employees and independent contractors, is considered when determining whether or not the designated broker has met the supervisory responsibilities as set forth by Iowa Code section </w:t>
      </w:r>
      <w:hyperlink r:id="rId24">
        <w:r>
          <w:rPr>
            <w:rStyle w:val="Hyperlink"/>
            <w:rFonts w:ascii="Times New Roman" w:hAnsi="Times New Roman"/>
            <w:b w:val="false"/>
            <w:i w:val="false"/>
            <w:color w:val="000000"/>
            <w:sz w:val="22"/>
          </w:rPr>
          <w:t>543B.62(3)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val="false"/>
          <w:color w:val="000000"/>
          <w:sz w:val="22"/>
        </w:rPr>
        <w:t>When making a determination, the commission may consider, but is not limited to consideration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Availability of the designated broker/designee to assist and advise regarding brokerage-related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General knowledge of brokerage-related staff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Availability of quality training programs and materials to licensed and unlicensed employees and independent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Supervisory policies and practices in the review of competitive market analysis, listing contracts, sales contracts and other contracts or information prepared for clients and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Frequency and content of staff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Written company policy manuals for licensed and unlicensed employees and independent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Ratio of supervisors to licensed employees and independent contractors;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Assignment of an experienced licensee to work with new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val="false"/>
          <w:color w:val="000000"/>
          <w:sz w:val="22"/>
        </w:rPr>
        <w:t>The designated broker disseminates, in a timely manner, to licensed employees and independent contractors all regulatory information received by the brokerage pertaining to the practice of real estate brokerage.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193E—7.11</w:t>
      </w:r>
      <w:r>
        <w:rPr>
          <w:rFonts w:ascii="Times New Roman" w:hAnsi="Times New Roman"/>
          <w:b/>
          <w:i w:val="false"/>
          <w:color w:val="000000"/>
          <w:sz w:val="22"/>
        </w:rPr>
        <w:t xml:space="preserve">(543B) </w:t>
      </w:r>
      <w:r>
        <w:rPr>
          <w:rFonts w:ascii="Times New Roman" w:hAnsi="Times New Roman"/>
          <w:b/>
          <w:i w:val="false"/>
          <w:color w:val="000000"/>
          <w:sz w:val="22"/>
        </w:rPr>
        <w:t xml:space="preserve">Supervision needed. </w:t>
      </w:r>
      <w:r>
        <w:rPr>
          <w:rFonts w:ascii="Times New Roman" w:hAnsi="Times New Roman"/>
          <w:b w:val="false"/>
          <w:i w:val="false"/>
          <w:color w:val="000000"/>
          <w:sz w:val="22"/>
        </w:rPr>
        <w:t>An employing or affiliated broker is responsible for providing supervision of any salesperson or broker associate employed by or otherwise associated with the broker as a representative of the broker. The existence of an independent contractor relationship or any other special compensation arrangement between the broker and the salesperson or broker associate does not relieve either the broker or the salesperson or broker associate of duties, obligations or responsibilities obligated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salesperson and broker associate keeps the broker fully informed of all activities being conducted on behalf of the broker in accordance with Iowa Code section </w:t>
      </w:r>
      <w:hyperlink r:id="rId25">
        <w:r>
          <w:rPr>
            <w:rStyle w:val="Hyperlink"/>
            <w:rFonts w:ascii="Times New Roman" w:hAnsi="Times New Roman"/>
            <w:b w:val="false"/>
            <w:i w:val="false"/>
            <w:color w:val="000000"/>
            <w:sz w:val="22"/>
          </w:rPr>
          <w:t>543B.62(3)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val="false"/>
          <w:color w:val="000000"/>
          <w:sz w:val="22"/>
        </w:rPr>
        <w:t>The activities of a salesperson or broker associate acting as a principal in the sale, lease, rental, or exchange of property owned by the licensee could impact the salesperson’s or broker associate’s license and the license of the employing or affiliated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licensee is acting as a principal, the licensee keeps the employing or affiliated broker fully informed of all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While this rule does not obligate that a licensee list property owned by the licensee with the employing or affiliated broker, the broker may obligate as a condition of employment or affiliation that the licensee list the property with the employing or affiliated broker or pay a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 associate means the same as defined in Iowa Code section </w:t>
      </w:r>
      <w:hyperlink r:id="rId26">
        <w:r>
          <w:rPr>
            <w:rStyle w:val="Hyperlink"/>
            <w:rFonts w:ascii="Times New Roman" w:hAnsi="Times New Roman"/>
            <w:b w:val="false"/>
            <w:i w:val="false"/>
            <w:color w:val="000000"/>
            <w:sz w:val="22"/>
          </w:rPr>
          <w:t>543B.5(5)</w:t>
        </w:r>
      </w:hyperlink>
      <w:r>
        <w:rPr>
          <w:rFonts w:ascii="Times New Roman" w:hAnsi="Times New Roman"/>
          <w:b w:val="false"/>
          <w:i w:val="false"/>
          <w:color w:val="000000"/>
          <w:sz w:val="22"/>
        </w:rPr>
        <w:t xml:space="preserve"> and rule </w:t>
      </w:r>
      <w:hyperlink r:id="rId27">
        <w:r>
          <w:rPr>
            <w:rStyle w:val="Hyperlink"/>
            <w:rFonts w:ascii="Times New Roman" w:hAnsi="Times New Roman"/>
            <w:b w:val="false"/>
            <w:i w:val="false"/>
            <w:color w:val="000000"/>
            <w:sz w:val="22"/>
          </w:rPr>
          <w:t>193E—2.1</w:t>
        </w:r>
      </w:hyperlink>
      <w:r>
        <w:rPr>
          <w:rFonts w:ascii="Times New Roman" w:hAnsi="Times New Roman"/>
          <w:b w:val="false"/>
          <w:i w:val="false"/>
          <w:color w:val="000000"/>
          <w:sz w:val="22"/>
        </w:rPr>
        <w:t xml:space="preserve">(543B). A broker associate is subject to the provisions of Iowa Code sections </w:t>
      </w:r>
      <w:hyperlink r:id="rId28">
        <w:r>
          <w:rPr>
            <w:rStyle w:val="Hyperlink"/>
            <w:rFonts w:ascii="Times New Roman" w:hAnsi="Times New Roman"/>
            <w:b w:val="false"/>
            <w:i w:val="false"/>
            <w:color w:val="000000"/>
            <w:sz w:val="22"/>
          </w:rPr>
          <w:t>543B.24</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543B.33</w:t>
        </w:r>
      </w:hyperlink>
      <w:r>
        <w:rPr>
          <w:rFonts w:ascii="Times New Roman" w:hAnsi="Times New Roman"/>
          <w:b w:val="false"/>
          <w:i w:val="false"/>
          <w:color w:val="000000"/>
          <w:sz w:val="22"/>
        </w:rPr>
        <w:t xml:space="preserve"> and commission rules pertaining to salespersons during the time the broker remains a broker associate.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w:t>
      </w:r>
      <w:r>
        <w:rPr>
          <w:rFonts w:ascii="Times New Roman" w:hAnsi="Times New Roman"/>
          <w:b w:val="false"/>
          <w:i w:val="false"/>
          <w:color w:val="000000"/>
          <w:sz w:val="22"/>
        </w:rPr>
        <w:t> </w:t>
      </w:r>
      <w:r>
        <w:rPr>
          <w:rFonts w:ascii="Times New Roman" w:hAnsi="Times New Roman"/>
          <w:b w:val="false"/>
          <w:i w:val="false"/>
          <w:color w:val="000000"/>
          <w:sz w:val="22"/>
        </w:rPr>
        <w:t>A broker who sponsors a salesperson during the salesperson’s first year of licensure must be able to demonstrate that the broker has the time available and experience necessary to adequately supervise an inexperienced salesperson.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193E—7.12</w:t>
      </w:r>
      <w:r>
        <w:rPr>
          <w:rFonts w:ascii="Times New Roman" w:hAnsi="Times New Roman"/>
          <w:b/>
          <w:i w:val="false"/>
          <w:color w:val="000000"/>
          <w:sz w:val="22"/>
        </w:rPr>
        <w:t xml:space="preserve">(543B) </w:t>
      </w:r>
      <w:r>
        <w:rPr>
          <w:rFonts w:ascii="Times New Roman" w:hAnsi="Times New Roman"/>
          <w:b/>
          <w:i w:val="false"/>
          <w:color w:val="000000"/>
          <w:sz w:val="22"/>
        </w:rPr>
        <w:t xml:space="preserve">Commission controversies. </w:t>
      </w:r>
      <w:r>
        <w:rPr>
          <w:rFonts w:ascii="Times New Roman" w:hAnsi="Times New Roman"/>
          <w:b w:val="false"/>
          <w:i w:val="false"/>
          <w:color w:val="000000"/>
          <w:sz w:val="22"/>
        </w:rPr>
        <w:t>The commission will not and is not authorized by law to consider or conduct hearings involving disputes over fees or commissions between cooperating brokers, salespersons, and other brokers.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val="false"/>
          <w:color w:val="000000"/>
          <w:sz w:val="22"/>
        </w:rPr>
        <w:t>A former employing or affiliated broker may pay a commission directly to a broker associate or salesperson who is presently assigned to another broker or firm, or whose license is inactive, expired, suspended or revoked, only if the commission was earned while the broker associate or salesperson was actively licensed and assigned to the former broker. Whether or not a commission was earned while the broker associate or salesperson was licensed with the former broker depends upon the licensee’s written agreement with the former broker. The commission will not determine whether a commission is earned or whether a commission is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val="false"/>
          <w:color w:val="000000"/>
          <w:sz w:val="22"/>
        </w:rPr>
        <w:t>If the licensee is presently assigned to another broker or firm, the former broker does not pay the commission to the new employing or affiliated broker or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val="false"/>
          <w:color w:val="000000"/>
          <w:sz w:val="22"/>
        </w:rPr>
        <w:t>An Iowa real estate broker may pay a commission or fee to or receive a commission or fee from a nonresident broker who is actively licensed in the broker’s resident state but not licensed in Iowa. The nonresident broker takes no part in the listing, showing, negotiating offers or any other functions of a broker in Iowa unless actively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w:t>
      </w:r>
      <w:r>
        <w:rPr>
          <w:rFonts w:ascii="Times New Roman" w:hAnsi="Times New Roman"/>
          <w:b w:val="false"/>
          <w:i w:val="false"/>
          <w:color w:val="000000"/>
          <w:sz w:val="22"/>
        </w:rPr>
        <w:t> </w:t>
      </w:r>
      <w:r>
        <w:rPr>
          <w:rFonts w:ascii="Times New Roman" w:hAnsi="Times New Roman"/>
          <w:b w:val="false"/>
          <w:i w:val="false"/>
          <w:color w:val="000000"/>
          <w:sz w:val="22"/>
        </w:rPr>
        <w:t>Upon the termination of association or employment with the affiliated broker or firm, the broker associate or salesperson cannot take or use any written listing or brokerage agreements secured during the association or employment. Said listings and brokerage agreements remain the property of the broker or firm and may be canceled only by the broker and the seller, unless the terms of the listing or brokerage agreement state otherwise.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193E—7.13</w:t>
      </w:r>
      <w:r>
        <w:rPr>
          <w:rFonts w:ascii="Times New Roman" w:hAnsi="Times New Roman"/>
          <w:b/>
          <w:i w:val="false"/>
          <w:color w:val="000000"/>
          <w:sz w:val="22"/>
        </w:rPr>
        <w:t xml:space="preserve">(543B) </w:t>
      </w:r>
      <w:r>
        <w:rPr>
          <w:rFonts w:ascii="Times New Roman" w:hAnsi="Times New Roman"/>
          <w:b/>
          <w:i w:val="false"/>
          <w:color w:val="000000"/>
          <w:sz w:val="22"/>
        </w:rPr>
        <w:t xml:space="preserve">Support personnel for licensees; permitted and barred activities. </w:t>
      </w:r>
      <w:r>
        <w:rPr>
          <w:rFonts w:ascii="Times New Roman" w:hAnsi="Times New Roman"/>
          <w:b w:val="false"/>
          <w:i w:val="false"/>
          <w:color w:val="000000"/>
          <w:sz w:val="22"/>
        </w:rPr>
        <w:t xml:space="preserve">Whenever a licensee affiliated with a broker engages support personnel to assist the affiliated licensee in the activities of the real estate brokerage business, both the firm or sponsoring broker and the affiliated licensee are responsible for supervising the acts or activities of the support personnel; however, the affiliated licensee has the primary responsibility for supervision. Unless the support person holds a real estate license, the support person cannot perform any activities, duties, or tasks of a real estate licensee as identified in Iowa Code sections </w:t>
      </w:r>
      <w:hyperlink r:id="rId30">
        <w:r>
          <w:rPr>
            <w:rStyle w:val="Hyperlink"/>
            <w:rFonts w:ascii="Times New Roman" w:hAnsi="Times New Roman"/>
            <w:b w:val="false"/>
            <w:i w:val="false"/>
            <w:color w:val="000000"/>
            <w:sz w:val="22"/>
          </w:rPr>
          <w:t>543B.3</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543B.6</w:t>
        </w:r>
      </w:hyperlink>
      <w:r>
        <w:rPr>
          <w:rFonts w:ascii="Times New Roman" w:hAnsi="Times New Roman"/>
          <w:b w:val="false"/>
          <w:i w:val="false"/>
          <w:color w:val="000000"/>
          <w:sz w:val="22"/>
        </w:rPr>
        <w:t xml:space="preserve"> and may perform only ministerial duties that do not need discretion or the exercise of the licensee’s own judgment. Personal assistants are considered support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val="false"/>
          <w:color w:val="000000"/>
          <w:sz w:val="22"/>
        </w:rPr>
        <w:t>Individuals actively licensed with one firm or broker cannot work as support personnel for a licensee affiliated with another firm or broker. Individuals with an inactive status license may work as support personnel for a licensee but cannot participate in any activity that needs a real estate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val="false"/>
          <w:color w:val="000000"/>
          <w:sz w:val="22"/>
        </w:rPr>
        <w:t>Any real estate brokerage firm or broker that allows an affiliated licensee to employ, or engage under an independent contractor agreement, support personnel to assist the affiliated licensee in carrying out brokerage activities complies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Implement a written company policy authorizing the use of support personnel by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in the written company policy, which may incorporate the duties listed in subrule </w:t>
      </w:r>
      <w:hyperlink r:id="rId32">
        <w:r>
          <w:rPr>
            <w:rStyle w:val="Hyperlink"/>
            <w:rFonts w:ascii="Times New Roman" w:hAnsi="Times New Roman"/>
            <w:b w:val="false"/>
            <w:i w:val="false"/>
            <w:color w:val="000000"/>
            <w:sz w:val="22"/>
          </w:rPr>
          <w:t>7.13(4)</w:t>
        </w:r>
      </w:hyperlink>
      <w:r>
        <w:rPr>
          <w:rFonts w:ascii="Times New Roman" w:hAnsi="Times New Roman"/>
          <w:b w:val="false"/>
          <w:i w:val="false"/>
          <w:color w:val="000000"/>
          <w:sz w:val="22"/>
        </w:rPr>
        <w:t>, any duties that the support personnel may perform on behalf of the affiliated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the affiliated licensee and the support personnel receive copies of the duties that support personnel may perform.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val="false"/>
          <w:color w:val="000000"/>
          <w:sz w:val="22"/>
        </w:rPr>
        <w:t>Broker supervision and improper use of license and office. While individual and designated brokers are responsible for supervising the real estate-related activities of all support personnel, an affiliated licensee employing a personal assistant has the primary responsibility for supervision of that personal assistant. A broker is not held responsible for inadequate supervision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unlicensed person violated a provision of Iowa Code chapter </w:t>
      </w:r>
      <w:hyperlink r:id="rId33">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or of commission rules that is in conflict with the supervising broker’s specific written policies or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Reasonable procedures have been established to verify that adequate supervision was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broker, upon hearing of the violation, attempted to prevent or mitigate the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broker did not participate in the violation;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broker did not attempt to avoid learning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val="false"/>
          <w:color w:val="000000"/>
          <w:sz w:val="22"/>
        </w:rPr>
        <w:t>In order to provide reasonable assistance to licensees and their support personnel, but without defining every permitted activity, the commission has identified certain tasks that unlicensed support personnel under the direct supervision of a licensee affiliated with a firm or broker may not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Permitted activities include, but are not limited to, the following:</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67"/>
        <w:gridCol w:w="9723"/>
      </w:tblGrid>
      <w:tr>
        <w:trPr>
          <w:trHeight w:val="40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Answer the telephone, provide information about a listing to licensees, and forward calls from the public to a licensee;</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Submit data on listings to a multiple listing service;</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Check on the status of loan commitments after a contract has been negotiated;</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Assemble documents for closings;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Secure documents that are public information from the courthouse and other sources available to the public;</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Have keys made for company listings;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Write advertisements and promotional materials for the approval of the licensee and supervising broker;</w:t>
            </w:r>
          </w:p>
        </w:tc>
      </w:tr>
      <w:tr>
        <w:trPr>
          <w:trHeight w:val="40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Place advertisements in magazines, newspapers, websites, social media, and other media as directed by the supervising broker; </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Record and deposit earnest money, security deposits, and advance rents, and perform other bookkeeping duties;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Type contract forms as directed by the licensee or the supervising broker;</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Monitor personnel files;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Compute commission checks;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Place signs on property;</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Order items of routine repair as directed by a licensee;</w:t>
            </w:r>
          </w:p>
        </w:tc>
      </w:tr>
      <w:tr>
        <w:trPr>
          <w:trHeight w:val="40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Act as courier for such purposes as delivering documents or picking up keys. The licensee remains responsible for ensuring delivery of all executed documents obligated by Iowa law and commission rules;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Schedule appointments with the seller or the seller’s agent in order for a licensee to show a listed property;</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Arrange dates and times for inspections;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Arrange dates and times for the mortgage application, the preclosing walk-through, and the closing;</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Schedule an open house;</w:t>
            </w:r>
          </w:p>
        </w:tc>
      </w:tr>
      <w:tr>
        <w:trPr>
          <w:trHeight w:val="270"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Perform physical maintenance on a property; or</w:t>
            </w:r>
          </w:p>
        </w:tc>
      </w:tr>
      <w:tr>
        <w:trPr>
          <w:trHeight w:val="11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972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Accompany a licensee to an open house or a showing and perform the following functions as a host or hostess:</w:t>
            </w:r>
          </w:p>
          <w:p>
            <w:pPr>
              <w:spacing w:before="0" w:after="0"/>
              <w:ind w:left="160"/>
              <w:jc w:val="left"/>
            </w:pPr>
            <w:r>
              <w:rPr>
                <w:rFonts w:ascii="Times New Roman" w:hAnsi="Times New Roman"/>
                <w:b w:val="false"/>
                <w:i w:val="false"/>
                <w:color w:val="000000"/>
                <w:sz w:val="16"/>
              </w:rPr>
              <w:t>     1.   </w:t>
            </w:r>
            <w:r>
              <w:rPr>
                <w:rFonts w:ascii="Times New Roman" w:hAnsi="Times New Roman"/>
                <w:b w:val="false"/>
                <w:i w:val="false"/>
                <w:color w:val="000000"/>
                <w:sz w:val="16"/>
              </w:rPr>
              <w:t>Open the door and greet prospects as they arrive;</w:t>
            </w:r>
          </w:p>
          <w:p>
            <w:pPr>
              <w:spacing w:before="0" w:after="0"/>
              <w:ind w:left="160"/>
              <w:jc w:val="left"/>
            </w:pPr>
            <w:r>
              <w:rPr>
                <w:rFonts w:ascii="Times New Roman" w:hAnsi="Times New Roman"/>
                <w:b w:val="false"/>
                <w:i w:val="false"/>
                <w:color w:val="000000"/>
                <w:sz w:val="16"/>
              </w:rPr>
              <w:t>     2.   </w:t>
            </w:r>
            <w:r>
              <w:rPr>
                <w:rFonts w:ascii="Times New Roman" w:hAnsi="Times New Roman"/>
                <w:b w:val="false"/>
                <w:i w:val="false"/>
                <w:color w:val="000000"/>
                <w:sz w:val="16"/>
              </w:rPr>
              <w:t>Hand out or distribute prepared printed material;</w:t>
            </w:r>
          </w:p>
          <w:p>
            <w:pPr>
              <w:spacing w:before="0" w:after="0"/>
              <w:ind w:left="160"/>
              <w:jc w:val="left"/>
            </w:pPr>
            <w:r>
              <w:rPr>
                <w:rFonts w:ascii="Times New Roman" w:hAnsi="Times New Roman"/>
                <w:b w:val="false"/>
                <w:i w:val="false"/>
                <w:color w:val="000000"/>
                <w:sz w:val="16"/>
              </w:rPr>
              <w:t>     3.   </w:t>
            </w:r>
            <w:r>
              <w:rPr>
                <w:rFonts w:ascii="Times New Roman" w:hAnsi="Times New Roman"/>
                <w:b w:val="false"/>
                <w:i w:val="false"/>
                <w:color w:val="000000"/>
                <w:sz w:val="16"/>
              </w:rPr>
              <w:t>Have prospects sign a register or guest book to record names, addresses and telephone numbers;</w:t>
            </w:r>
          </w:p>
          <w:p>
            <w:pPr>
              <w:spacing w:before="0" w:after="0"/>
              <w:ind w:left="160"/>
              <w:jc w:val="left"/>
            </w:pPr>
            <w:r>
              <w:rPr>
                <w:rFonts w:ascii="Times New Roman" w:hAnsi="Times New Roman"/>
                <w:b w:val="false"/>
                <w:i w:val="false"/>
                <w:color w:val="000000"/>
                <w:sz w:val="16"/>
              </w:rPr>
              <w:t>     4.   </w:t>
            </w:r>
            <w:r>
              <w:rPr>
                <w:rFonts w:ascii="Times New Roman" w:hAnsi="Times New Roman"/>
                <w:b w:val="false"/>
                <w:i w:val="false"/>
                <w:color w:val="000000"/>
                <w:sz w:val="16"/>
              </w:rPr>
              <w:t>Accompany prospects through the home for security purposes and not answer any questions pertaining to the material aspects of the house or its price and terms.</w:t>
            </w:r>
          </w:p>
        </w:tc>
      </w:tr>
      <w:tr>
        <w:trPr>
          <w:trHeight w:val="225" w:hRule="atLeast"/>
        </w:trPr>
        <w:tc>
          <w:tcPr>
            <w:tcW w:w="14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9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Independently host open houses for tours attended by licensed brokers and salespersons only.</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Barred activities include, but are not limited to, the following:</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71"/>
        <w:gridCol w:w="9819"/>
      </w:tblGrid>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Making cold calls by telephone or in person or otherwise contacting the public for the purpose of securing prospects for listings, leasing, sale, exchanges, or property management;</w:t>
            </w:r>
          </w:p>
        </w:tc>
      </w:tr>
      <w:tr>
        <w:trPr>
          <w:trHeight w:val="22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Independently hosting open houses, kiosks, home show booths, or fairs attended by the public;</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Preparing promotion materials or advertisements without the review and approval of licensee and supervising broker;</w:t>
            </w:r>
          </w:p>
        </w:tc>
      </w:tr>
      <w:tr>
        <w:trPr>
          <w:trHeight w:val="22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Showing property independently;</w:t>
            </w:r>
          </w:p>
        </w:tc>
      </w:tr>
      <w:tr>
        <w:trPr>
          <w:trHeight w:val="22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Answering any questions on title, financing, or closings (other than time and place);</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Answering any questions regarding a listing except for information on price and amenities expressly provided in writing by the licensee;</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Discussing or explaining a contract, listing, lease, agreement, or other real estate document with anyone outside the firm;</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Negotiating or agreeing to any commission, commission split, management fee, or referral fee on behalf of a licensee;</w:t>
            </w:r>
          </w:p>
        </w:tc>
      </w:tr>
      <w:tr>
        <w:trPr>
          <w:trHeight w:val="22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Discussing with the owner of real property the terms and conditions of the real property offered for sale or lease;</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Collecting or holding deposit moneys, rent, other moneys or anything of value received from the owner of real property or from a prospective buyer or tenant;</w:t>
            </w:r>
          </w:p>
        </w:tc>
      </w:tr>
      <w:tr>
        <w:trPr>
          <w:trHeight w:val="58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Providing owners of real property or prospective buyers or tenants with any advice, recommendations or suggestions as to the sale, purchase, exchange, rental, or leasing of real property that is listed, to be listed, or currently available for sale or lease; or</w:t>
            </w:r>
          </w:p>
        </w:tc>
      </w:tr>
      <w:tr>
        <w:trPr>
          <w:trHeight w:val="405" w:hRule="atLeast"/>
        </w:trPr>
        <w:tc>
          <w:tcPr>
            <w:tcW w:w="137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9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Holding one’s self out in any manner, orally or in writing, as being licensed or affiliated with a particular firm or real estate broker as a licensee.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193E—7.14</w:t>
      </w:r>
      <w:r>
        <w:rPr>
          <w:rFonts w:ascii="Times New Roman" w:hAnsi="Times New Roman"/>
          <w:b/>
          <w:i w:val="false"/>
          <w:color w:val="000000"/>
          <w:sz w:val="22"/>
        </w:rPr>
        <w:t xml:space="preserve">(543B) </w:t>
      </w:r>
      <w:r>
        <w:rPr>
          <w:rFonts w:ascii="Times New Roman" w:hAnsi="Times New Roman"/>
          <w:b/>
          <w:i w:val="false"/>
          <w:color w:val="000000"/>
          <w:sz w:val="22"/>
        </w:rPr>
        <w:t xml:space="preserve">Information provided by nonlicensed support personnel limited. </w:t>
      </w:r>
      <w:r>
        <w:rPr>
          <w:rFonts w:ascii="Times New Roman" w:hAnsi="Times New Roman"/>
          <w:b w:val="false"/>
          <w:i w:val="false"/>
          <w:color w:val="000000"/>
          <w:sz w:val="22"/>
        </w:rPr>
        <w:t>Nonlicensed support personnel may, on behalf of the employer licensee, provide information concerning the sale, exchange, purchase, rental, lease, or advertising of real estate only to another licensee. Support personnel provides information only to another licensee that has been provided to the personnel by the employer licensee either verbally or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193E—7.15</w:t>
      </w:r>
      <w:r>
        <w:rPr>
          <w:rFonts w:ascii="Times New Roman" w:hAnsi="Times New Roman"/>
          <w:b/>
          <w:i w:val="false"/>
          <w:color w:val="000000"/>
          <w:sz w:val="22"/>
        </w:rPr>
        <w:t xml:space="preserve">(543B) </w:t>
      </w:r>
      <w:r>
        <w:rPr>
          <w:rFonts w:ascii="Times New Roman" w:hAnsi="Times New Roman"/>
          <w:b/>
          <w:i w:val="false"/>
          <w:color w:val="000000"/>
          <w:sz w:val="22"/>
        </w:rPr>
        <w:t xml:space="preserve">Presenting purchase agreements. </w:t>
      </w:r>
      <w:r>
        <w:rPr>
          <w:rFonts w:ascii="Times New Roman" w:hAnsi="Times New Roman"/>
          <w:b w:val="false"/>
          <w:i w:val="false"/>
          <w:color w:val="000000"/>
          <w:sz w:val="22"/>
        </w:rPr>
        <w:t>All written offers to purchase received by a listing broker or listing agent are promptly presented to the seller for formal acceptance or rejection. The formal acceptance or rejection of the offer is promptly communicated to the prospective buyers. Unless there is written agreement between the seller and the listing broker directing otherwise, the listing broker is obligated to present back-up offers until the transaction has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val="false"/>
          <w:color w:val="000000"/>
          <w:sz w:val="22"/>
        </w:rPr>
        <w:t>A client’s broker seeking compensation from another broker will obtain authorization and agreement from the cooperating broker prior to closing of the real estate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val="false"/>
          <w:color w:val="000000"/>
          <w:sz w:val="22"/>
        </w:rPr>
        <w:t>Immediately upon receiving an offer to purchase signed and dated by the buyer with consideration, if any, the listing agent provides a copy of the offer to purchase to the buyer as a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val="false"/>
          <w:color w:val="000000"/>
          <w:sz w:val="22"/>
        </w:rPr>
        <w:t>A customer’s agent or representative cannot negotiate directly or indirectly with a seller or buyer, or landlord or tenant, if the agent knows, or acting in a reasonable manner should have known, that the seller or buyer, or landlord or tenant, has a written unexpired listing or brokerage agreement for services on an exclusive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w:t>
      </w:r>
      <w:r>
        <w:rPr>
          <w:rFonts w:ascii="Times New Roman" w:hAnsi="Times New Roman"/>
          <w:b w:val="false"/>
          <w:i w:val="false"/>
          <w:color w:val="000000"/>
          <w:sz w:val="22"/>
        </w:rPr>
        <w:t> </w:t>
      </w:r>
      <w:r>
        <w:rPr>
          <w:rFonts w:ascii="Times New Roman" w:hAnsi="Times New Roman"/>
          <w:b w:val="false"/>
          <w:i w:val="false"/>
          <w:color w:val="000000"/>
          <w:sz w:val="22"/>
        </w:rPr>
        <w:t>A listing agent cannot refuse to permit a customer’s agent or representative to be present at any step in a real estate transaction including, but not limited to, viewing a property, seeking information about a property, or negotiating directly or indirectly with an agent about a property listed by such agent; and no agent refuses to show a property listed by that agent or otherwise deal with a represented customer who requests that the customer’s agent or representative be present at any step in the real estate transaction, except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customer’s agent or representative does not have the right to be present at any discussion of confidential matters or evaluation of the offer by the seller and the listing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the seller provides written instructions to the listing agent to exclude a customer’s agent or representative from being present when the offer is presented, it is not unlawful for the customer’s agent or representative to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Compliance with this rule does not need or obligate a listing broker to share any commission or to otherwise compensate a customer’s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May 25, 1953; amended June 11, 1953, May 31, 1957, January 15, 1963, </w:t>
      </w:r>
    </w:p>
    <w:p>
      <w:pPr>
        <w:spacing w:before="0" w:after="0"/>
        <w:ind w:left="120"/>
        <w:jc w:val="center"/>
      </w:pPr>
      <w:r>
        <w:rPr>
          <w:rFonts w:ascii="Times New Roman" w:hAnsi="Times New Roman"/>
          <w:b w:val="false"/>
          <w:i w:val="false"/>
          <w:color w:val="000000"/>
          <w:sz w:val="21"/>
        </w:rPr>
        <w:t>May 10, 1966, July 13, 1967, August 10, 1973, December 11, 1973, May 13, 1975]</w:t>
      </w:r>
    </w:p>
    <w:p>
      <w:pPr>
        <w:spacing w:before="0" w:after="0"/>
        <w:ind w:left="120"/>
        <w:jc w:val="center"/>
      </w:pPr>
      <w:r>
        <w:rPr>
          <w:rFonts w:ascii="Times New Roman" w:hAnsi="Times New Roman"/>
          <w:b w:val="false"/>
          <w:i w:val="false"/>
          <w:color w:val="000000"/>
          <w:sz w:val="21"/>
        </w:rPr>
        <w:t>[Filed 9/3/76, Notice 7/12/76—published 9/22/76, effective 10/27/76]</w:t>
      </w:r>
    </w:p>
    <w:p>
      <w:pPr>
        <w:spacing w:before="0" w:after="0"/>
        <w:ind w:left="120"/>
        <w:jc w:val="center"/>
      </w:pPr>
      <w:r>
        <w:rPr>
          <w:rFonts w:ascii="Times New Roman" w:hAnsi="Times New Roman"/>
          <w:b w:val="false"/>
          <w:i w:val="false"/>
          <w:color w:val="000000"/>
          <w:sz w:val="21"/>
        </w:rPr>
        <w:t>[Filed 6/8/78, Notice 5/3/78—published 6/28/78, effective 8/2/78]</w:t>
      </w:r>
    </w:p>
    <w:p>
      <w:pPr>
        <w:spacing w:before="0" w:after="0"/>
        <w:ind w:left="120"/>
        <w:jc w:val="center"/>
      </w:pPr>
      <w:r>
        <w:rPr>
          <w:rFonts w:ascii="Times New Roman" w:hAnsi="Times New Roman"/>
          <w:b w:val="false"/>
          <w:i w:val="false"/>
          <w:color w:val="000000"/>
          <w:sz w:val="21"/>
        </w:rPr>
        <w:t>[Filed 5/30/79, Notice 3/21/79—published 6/27/79, effective 8/1/79]</w:t>
      </w:r>
    </w:p>
    <w:p>
      <w:pPr>
        <w:spacing w:before="0" w:after="0"/>
        <w:ind w:left="120"/>
        <w:jc w:val="center"/>
      </w:pPr>
      <w:r>
        <w:rPr>
          <w:rFonts w:ascii="Times New Roman" w:hAnsi="Times New Roman"/>
          <w:b w:val="false"/>
          <w:i w:val="false"/>
          <w:color w:val="000000"/>
          <w:sz w:val="21"/>
        </w:rPr>
        <w:t>[Filed 3/27/81, Notices 8/20/80, 2/18/81—published 4/15/81, effective 5/20/81]</w:t>
      </w:r>
    </w:p>
    <w:p>
      <w:pPr>
        <w:spacing w:before="0" w:after="0"/>
        <w:ind w:left="120"/>
        <w:jc w:val="center"/>
      </w:pPr>
      <w:r>
        <w:rPr>
          <w:rFonts w:ascii="Times New Roman" w:hAnsi="Times New Roman"/>
          <w:b w:val="false"/>
          <w:i w:val="false"/>
          <w:color w:val="000000"/>
          <w:sz w:val="21"/>
        </w:rPr>
        <w:t>[Filed emergency 5/22/81—published 6/10/81, effective 7/1/81]</w:t>
      </w:r>
    </w:p>
    <w:p>
      <w:pPr>
        <w:spacing w:before="0" w:after="0"/>
        <w:ind w:left="120"/>
        <w:jc w:val="center"/>
      </w:pPr>
      <w:r>
        <w:rPr>
          <w:rFonts w:ascii="Times New Roman" w:hAnsi="Times New Roman"/>
          <w:b w:val="false"/>
          <w:i w:val="false"/>
          <w:color w:val="000000"/>
          <w:sz w:val="21"/>
        </w:rPr>
        <w:t>[Filed 8/28/81, Notice 4/29/81—published 9/16/81, effective 10/22/81]</w:t>
      </w:r>
    </w:p>
    <w:p>
      <w:pPr>
        <w:spacing w:before="0" w:after="0"/>
        <w:ind w:left="120"/>
        <w:jc w:val="center"/>
      </w:pPr>
      <w:r>
        <w:rPr>
          <w:rFonts w:ascii="Times New Roman" w:hAnsi="Times New Roman"/>
          <w:b w:val="false"/>
          <w:i w:val="false"/>
          <w:color w:val="000000"/>
          <w:sz w:val="21"/>
        </w:rPr>
        <w:t>[Filed 10/7/81, Notice 8/19/81—published 10/28/81, effective 12/2/81]</w:t>
      </w:r>
    </w:p>
    <w:p>
      <w:pPr>
        <w:spacing w:before="0" w:after="0"/>
        <w:ind w:left="120"/>
        <w:jc w:val="center"/>
      </w:pPr>
      <w:r>
        <w:rPr>
          <w:rFonts w:ascii="Times New Roman" w:hAnsi="Times New Roman"/>
          <w:b w:val="false"/>
          <w:i w:val="false"/>
          <w:color w:val="000000"/>
          <w:sz w:val="21"/>
        </w:rPr>
        <w:t>[Filed 12/4/81, Notice 10/28/81—published 12/23/81, effective 1/27/82]</w:t>
      </w:r>
    </w:p>
    <w:p>
      <w:pPr>
        <w:spacing w:before="0" w:after="0"/>
        <w:ind w:left="120"/>
        <w:jc w:val="center"/>
      </w:pPr>
      <w:r>
        <w:rPr>
          <w:rFonts w:ascii="Times New Roman" w:hAnsi="Times New Roman"/>
          <w:b w:val="false"/>
          <w:i w:val="false"/>
          <w:color w:val="000000"/>
          <w:sz w:val="21"/>
        </w:rPr>
        <w:t xml:space="preserve">[Filed 2/12/82, Notice 12/23/81—published 3/3/82, effective 4/7/82] </w:t>
      </w:r>
    </w:p>
    <w:p>
      <w:pPr>
        <w:spacing w:before="0" w:after="0"/>
        <w:ind w:left="120"/>
        <w:jc w:val="center"/>
      </w:pPr>
      <w:r>
        <w:rPr>
          <w:rFonts w:ascii="Times New Roman" w:hAnsi="Times New Roman"/>
          <w:b w:val="false"/>
          <w:i w:val="false"/>
          <w:color w:val="000000"/>
          <w:sz w:val="21"/>
        </w:rPr>
        <w:t>[Filed without Notice 2/26/82—published 3/17/82, effective 4/21/82]</w:t>
      </w:r>
    </w:p>
    <w:p>
      <w:pPr>
        <w:spacing w:before="0" w:after="0"/>
        <w:ind w:left="120"/>
        <w:jc w:val="center"/>
      </w:pPr>
      <w:r>
        <w:rPr>
          <w:rFonts w:ascii="Times New Roman" w:hAnsi="Times New Roman"/>
          <w:b w:val="false"/>
          <w:i w:val="false"/>
          <w:color w:val="000000"/>
          <w:sz w:val="21"/>
        </w:rPr>
        <w:t>[Filed 5/6/82, Notice 3/17/82—published 5/26/82, effective 6/30/82]</w:t>
      </w:r>
    </w:p>
    <w:p>
      <w:pPr>
        <w:spacing w:before="0" w:after="0"/>
        <w:ind w:left="120"/>
        <w:jc w:val="center"/>
      </w:pPr>
      <w:r>
        <w:rPr>
          <w:rFonts w:ascii="Times New Roman" w:hAnsi="Times New Roman"/>
          <w:b w:val="false"/>
          <w:i w:val="false"/>
          <w:color w:val="000000"/>
          <w:sz w:val="21"/>
        </w:rPr>
        <w:t>[Filed 6/3/82, Notices 4/28/82—published 6/23/82, effective 7/29/82]</w:t>
      </w:r>
    </w:p>
    <w:p>
      <w:pPr>
        <w:spacing w:before="0" w:after="0"/>
        <w:ind w:left="120"/>
        <w:jc w:val="center"/>
      </w:pPr>
      <w:r>
        <w:rPr>
          <w:rFonts w:ascii="Times New Roman" w:hAnsi="Times New Roman"/>
          <w:b w:val="false"/>
          <w:i w:val="false"/>
          <w:color w:val="000000"/>
          <w:sz w:val="21"/>
        </w:rPr>
        <w:t>[Filed emergency 7/2/82—published 7/21/82, effective 7/2/82]</w:t>
      </w:r>
    </w:p>
    <w:p>
      <w:pPr>
        <w:spacing w:before="0" w:after="0"/>
        <w:ind w:left="120"/>
        <w:jc w:val="center"/>
      </w:pPr>
      <w:r>
        <w:rPr>
          <w:rFonts w:ascii="Times New Roman" w:hAnsi="Times New Roman"/>
          <w:b w:val="false"/>
          <w:i w:val="false"/>
          <w:color w:val="000000"/>
          <w:sz w:val="21"/>
        </w:rPr>
        <w:t>[Filed 9/10/82, Notice 5/26/82—published 9/29/82, effective 11/3/82]</w:t>
      </w:r>
    </w:p>
    <w:p>
      <w:pPr>
        <w:spacing w:before="0" w:after="0"/>
        <w:ind w:left="120"/>
        <w:jc w:val="center"/>
      </w:pPr>
      <w:r>
        <w:rPr>
          <w:rFonts w:ascii="Times New Roman" w:hAnsi="Times New Roman"/>
          <w:b w:val="false"/>
          <w:i w:val="false"/>
          <w:color w:val="000000"/>
          <w:sz w:val="21"/>
        </w:rPr>
        <w:t>[Filed 9/10/82, Notice 7/21/82—published 9/29/82, effective 11/3/82]</w:t>
      </w:r>
    </w:p>
    <w:p>
      <w:pPr>
        <w:spacing w:before="0" w:after="0"/>
        <w:ind w:left="120"/>
        <w:jc w:val="center"/>
      </w:pPr>
      <w:r>
        <w:rPr>
          <w:rFonts w:ascii="Times New Roman" w:hAnsi="Times New Roman"/>
          <w:b w:val="false"/>
          <w:i w:val="false"/>
          <w:color w:val="000000"/>
          <w:sz w:val="21"/>
        </w:rPr>
        <w:t>[Filed 3/23/83, Notice 1/5/83—published 4/13/83, effective 7/1/83]</w:t>
      </w:r>
    </w:p>
    <w:p>
      <w:pPr>
        <w:spacing w:before="0" w:after="0"/>
        <w:ind w:left="120"/>
        <w:jc w:val="center"/>
      </w:pPr>
      <w:r>
        <w:rPr>
          <w:rFonts w:ascii="Times New Roman" w:hAnsi="Times New Roman"/>
          <w:b w:val="false"/>
          <w:i w:val="false"/>
          <w:color w:val="000000"/>
          <w:sz w:val="21"/>
        </w:rPr>
        <w:t>[Filed 6/17/83, Notice 1/5/83—published 7/6/83, effective 8/10/83]</w:t>
      </w:r>
    </w:p>
    <w:p>
      <w:pPr>
        <w:spacing w:before="0" w:after="0"/>
        <w:ind w:left="120"/>
        <w:jc w:val="center"/>
      </w:pPr>
      <w:r>
        <w:rPr>
          <w:rFonts w:ascii="Times New Roman" w:hAnsi="Times New Roman"/>
          <w:b w:val="false"/>
          <w:i w:val="false"/>
          <w:color w:val="000000"/>
          <w:sz w:val="21"/>
        </w:rPr>
        <w:t>[Filed 8/26/83, Notice 7/6/83—published 9/14/83, effective 10/20/83]</w:t>
      </w:r>
    </w:p>
    <w:p>
      <w:pPr>
        <w:spacing w:before="0" w:after="0"/>
        <w:ind w:left="120"/>
        <w:jc w:val="center"/>
      </w:pPr>
      <w:r>
        <w:rPr>
          <w:rFonts w:ascii="Times New Roman" w:hAnsi="Times New Roman"/>
          <w:b w:val="false"/>
          <w:i w:val="false"/>
          <w:color w:val="000000"/>
          <w:sz w:val="21"/>
        </w:rPr>
        <w:t>[Filed 12/15/83, Notice 10/26/83—published 1/4/84, effective 2/9/84]</w:t>
      </w:r>
    </w:p>
    <w:p>
      <w:pPr>
        <w:spacing w:before="0" w:after="0"/>
        <w:ind w:left="120"/>
        <w:jc w:val="center"/>
      </w:pPr>
      <w:r>
        <w:rPr>
          <w:rFonts w:ascii="Times New Roman" w:hAnsi="Times New Roman"/>
          <w:b w:val="false"/>
          <w:i w:val="false"/>
          <w:color w:val="000000"/>
          <w:sz w:val="21"/>
        </w:rPr>
        <w:t>[Filed 3/8/84, Notice 1/4/84—published 3/28/84, effective 5/2/84</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without Notice 6/15/84—published 7/4/84, effective 8/8/84]</w:t>
      </w:r>
    </w:p>
    <w:p>
      <w:pPr>
        <w:spacing w:before="0" w:after="0"/>
        <w:ind w:left="120"/>
        <w:jc w:val="center"/>
      </w:pPr>
      <w:r>
        <w:rPr>
          <w:rFonts w:ascii="Times New Roman" w:hAnsi="Times New Roman"/>
          <w:b w:val="false"/>
          <w:i w:val="false"/>
          <w:color w:val="000000"/>
          <w:sz w:val="21"/>
        </w:rPr>
        <w:t xml:space="preserve">[Filed emergency after Notice 5/1/85, Notice 2/13/85—published 5/22/85, effective 5/1/85] </w:t>
      </w:r>
    </w:p>
    <w:p>
      <w:pPr>
        <w:spacing w:before="0" w:after="0"/>
        <w:ind w:left="120"/>
        <w:jc w:val="center"/>
      </w:pPr>
      <w:r>
        <w:rPr>
          <w:rFonts w:ascii="Times New Roman" w:hAnsi="Times New Roman"/>
          <w:b w:val="false"/>
          <w:i w:val="false"/>
          <w:color w:val="000000"/>
          <w:sz w:val="21"/>
        </w:rPr>
        <w:t>[Filed emergency 7/19/85—published 8/14/85, effective 7/19/85]</w:t>
      </w:r>
    </w:p>
    <w:p>
      <w:pPr>
        <w:spacing w:before="0" w:after="0"/>
        <w:ind w:left="120"/>
        <w:jc w:val="center"/>
      </w:pPr>
      <w:r>
        <w:rPr>
          <w:rFonts w:ascii="Times New Roman" w:hAnsi="Times New Roman"/>
          <w:b w:val="false"/>
          <w:i w:val="false"/>
          <w:color w:val="000000"/>
          <w:sz w:val="21"/>
        </w:rPr>
        <w:t>[Filed without Notice 8/23/85—published 9/11/85, effective 10/16/85]</w:t>
      </w:r>
    </w:p>
    <w:p>
      <w:pPr>
        <w:spacing w:before="0" w:after="0"/>
        <w:ind w:left="120"/>
        <w:jc w:val="center"/>
      </w:pPr>
      <w:r>
        <w:rPr>
          <w:rFonts w:ascii="Times New Roman" w:hAnsi="Times New Roman"/>
          <w:b w:val="false"/>
          <w:i w:val="false"/>
          <w:color w:val="000000"/>
          <w:sz w:val="21"/>
        </w:rPr>
        <w:t>[Filed 9/18/86, Notice 7/16/86—published 10/8/86, effective 11/12/86]</w:t>
      </w:r>
    </w:p>
    <w:p>
      <w:pPr>
        <w:spacing w:before="0" w:after="0"/>
        <w:ind w:left="120"/>
        <w:jc w:val="center"/>
      </w:pPr>
      <w:r>
        <w:rPr>
          <w:rFonts w:ascii="Times New Roman" w:hAnsi="Times New Roman"/>
          <w:b w:val="false"/>
          <w:i w:val="false"/>
          <w:color w:val="000000"/>
          <w:sz w:val="21"/>
        </w:rPr>
        <w:t>[Filed emergency after Notice 10/1/87, Notice 8/26/87—published 10/21/87, effective 10/2/87]</w:t>
      </w:r>
    </w:p>
    <w:p>
      <w:pPr>
        <w:spacing w:before="0" w:after="0"/>
        <w:ind w:left="120"/>
        <w:jc w:val="center"/>
      </w:pPr>
      <w:r>
        <w:rPr>
          <w:rFonts w:ascii="Times New Roman" w:hAnsi="Times New Roman"/>
          <w:b w:val="false"/>
          <w:i w:val="false"/>
          <w:color w:val="000000"/>
          <w:sz w:val="21"/>
        </w:rPr>
        <w:t>[Filed 10/2/87, Notice 8/26/87—published 10/21/87, effective 11/25/87]</w:t>
      </w:r>
    </w:p>
    <w:p>
      <w:pPr>
        <w:spacing w:before="0" w:after="0"/>
        <w:ind w:left="120"/>
        <w:jc w:val="center"/>
      </w:pPr>
      <w:r>
        <w:rPr>
          <w:rFonts w:ascii="Times New Roman" w:hAnsi="Times New Roman"/>
          <w:b w:val="false"/>
          <w:i w:val="false"/>
          <w:color w:val="000000"/>
          <w:sz w:val="21"/>
        </w:rPr>
        <w:t>[Filed 5/26/88, Notice 3/9/88—published 6/15/88, effective 7/20/88]</w:t>
      </w:r>
    </w:p>
    <w:p>
      <w:pPr>
        <w:spacing w:before="0" w:after="0"/>
        <w:ind w:left="120"/>
        <w:jc w:val="center"/>
      </w:pPr>
      <w:r>
        <w:rPr>
          <w:rFonts w:ascii="Times New Roman" w:hAnsi="Times New Roman"/>
          <w:b w:val="false"/>
          <w:i w:val="false"/>
          <w:color w:val="000000"/>
          <w:sz w:val="21"/>
        </w:rPr>
        <w:t>[Filed 4/25/89, Notice 3/8/89—published 5/17/89, effective 6/21/89]</w:t>
      </w:r>
    </w:p>
    <w:p>
      <w:pPr>
        <w:spacing w:before="0" w:after="0"/>
        <w:ind w:left="120"/>
        <w:jc w:val="center"/>
      </w:pPr>
      <w:r>
        <w:rPr>
          <w:rFonts w:ascii="Times New Roman" w:hAnsi="Times New Roman"/>
          <w:b w:val="false"/>
          <w:i w:val="false"/>
          <w:color w:val="000000"/>
          <w:sz w:val="21"/>
        </w:rPr>
        <w:t>[Filed 12/4/92, Notice 9/30/92—published 12/23/92, effective 1/27/93]</w:t>
      </w:r>
    </w:p>
    <w:p>
      <w:pPr>
        <w:spacing w:before="0" w:after="0"/>
        <w:ind w:left="120"/>
        <w:jc w:val="center"/>
      </w:pPr>
      <w:r>
        <w:rPr>
          <w:rFonts w:ascii="Times New Roman" w:hAnsi="Times New Roman"/>
          <w:b w:val="false"/>
          <w:i w:val="false"/>
          <w:color w:val="000000"/>
          <w:sz w:val="21"/>
        </w:rPr>
        <w:t>[Filed emergency 1/29/93—published 2/17/93, effective 1/29/93]</w:t>
      </w:r>
    </w:p>
    <w:p>
      <w:pPr>
        <w:spacing w:before="0" w:after="0"/>
        <w:ind w:left="120"/>
        <w:jc w:val="center"/>
      </w:pPr>
      <w:r>
        <w:rPr>
          <w:rFonts w:ascii="Times New Roman" w:hAnsi="Times New Roman"/>
          <w:b w:val="false"/>
          <w:i w:val="false"/>
          <w:color w:val="000000"/>
          <w:sz w:val="21"/>
        </w:rPr>
        <w:t>[Filed 6/4/93, Notice 3/31/93—published 6/23/93, effective 7/29/93</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4/4/94, Notice 2/16/94—published 4/27/94, effective 6/1/94]</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12/1/95, Notice 10/25/95—published 12/20/95, effective 1/24/96]</w:t>
      </w:r>
    </w:p>
    <w:p>
      <w:pPr>
        <w:spacing w:before="0" w:after="0"/>
        <w:ind w:left="120"/>
        <w:jc w:val="center"/>
      </w:pPr>
      <w:r>
        <w:rPr>
          <w:rFonts w:ascii="Times New Roman" w:hAnsi="Times New Roman"/>
          <w:b w:val="false"/>
          <w:i w:val="false"/>
          <w:color w:val="000000"/>
          <w:sz w:val="21"/>
        </w:rPr>
        <w:t>[Filed 5/2/96, Notice 3/13/96—published 5/22/96, effective 6/26/96]</w:t>
      </w:r>
    </w:p>
    <w:p>
      <w:pPr>
        <w:spacing w:before="0" w:after="0"/>
        <w:ind w:left="120"/>
        <w:jc w:val="center"/>
      </w:pPr>
      <w:r>
        <w:rPr>
          <w:rFonts w:ascii="Times New Roman" w:hAnsi="Times New Roman"/>
          <w:b w:val="false"/>
          <w:i w:val="false"/>
          <w:color w:val="000000"/>
          <w:sz w:val="21"/>
        </w:rPr>
        <w:t>[Filed 8/23/96, Notice 7/17/96—published 9/11/96, effective 10/16/96]</w:t>
      </w:r>
    </w:p>
    <w:p>
      <w:pPr>
        <w:spacing w:before="0" w:after="0"/>
        <w:ind w:left="120"/>
        <w:jc w:val="center"/>
      </w:pPr>
      <w:r>
        <w:rPr>
          <w:rFonts w:ascii="Times New Roman" w:hAnsi="Times New Roman"/>
          <w:b w:val="false"/>
          <w:i w:val="false"/>
          <w:color w:val="000000"/>
          <w:sz w:val="21"/>
        </w:rPr>
        <w:t>[Filed 8/22/97, Notice 7/2/97—published 9/10/97, effective 10/15/97]</w:t>
      </w:r>
    </w:p>
    <w:p>
      <w:pPr>
        <w:spacing w:before="0" w:after="0"/>
        <w:ind w:left="120"/>
        <w:jc w:val="center"/>
      </w:pPr>
      <w:r>
        <w:rPr>
          <w:rFonts w:ascii="Times New Roman" w:hAnsi="Times New Roman"/>
          <w:b w:val="false"/>
          <w:i w:val="false"/>
          <w:color w:val="000000"/>
          <w:sz w:val="21"/>
        </w:rPr>
        <w:t>[Filed 12/11/98, Notice 8/12/98—published 12/30/98, effective 2/3/99]</w:t>
      </w:r>
    </w:p>
    <w:p>
      <w:pPr>
        <w:spacing w:before="0" w:after="0"/>
        <w:ind w:left="120"/>
        <w:jc w:val="center"/>
      </w:pPr>
      <w:r>
        <w:rPr>
          <w:rFonts w:ascii="Times New Roman" w:hAnsi="Times New Roman"/>
          <w:b w:val="false"/>
          <w:i w:val="false"/>
          <w:color w:val="000000"/>
          <w:sz w:val="21"/>
        </w:rPr>
        <w:t>[Filed 12/11/98, Notice 9/23/98—published 12/30/98, effective 2/3/99]</w:t>
      </w:r>
    </w:p>
    <w:p>
      <w:pPr>
        <w:spacing w:before="0" w:after="0"/>
        <w:ind w:left="120"/>
        <w:jc w:val="center"/>
      </w:pPr>
      <w:r>
        <w:rPr>
          <w:rFonts w:ascii="Times New Roman" w:hAnsi="Times New Roman"/>
          <w:b w:val="false"/>
          <w:i w:val="false"/>
          <w:color w:val="000000"/>
          <w:sz w:val="21"/>
        </w:rPr>
        <w:t>[Filed 5/28/99, Notice 3/24/99—published 6/16/99, effective 7/21/99]</w:t>
      </w:r>
    </w:p>
    <w:p>
      <w:pPr>
        <w:spacing w:before="0" w:after="0"/>
        <w:ind w:left="120"/>
        <w:jc w:val="center"/>
      </w:pPr>
      <w:r>
        <w:rPr>
          <w:rFonts w:ascii="Times New Roman" w:hAnsi="Times New Roman"/>
          <w:b w:val="false"/>
          <w:i w:val="false"/>
          <w:color w:val="000000"/>
          <w:sz w:val="21"/>
        </w:rPr>
        <w:t>[Filed 3/2/00, Notice 1/12/00—published 3/22/00, effective 4/26/00</w:t>
      </w:r>
      <w:r>
        <w:rPr>
          <w:rFonts w:ascii="Times New Roman" w:hAnsi="Times New Roman"/>
          <w:b w:val="false"/>
          <w:i w:val="false"/>
          <w:color w:val="000000"/>
          <w:sz w:val="10"/>
        </w:rPr>
        <w:t>3</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6/8/00—published 6/28/00, effective 6/9/00]</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12/16/05, Notice 10/26/05—published 1/18/06, effective 2/22/06]</w:t>
      </w:r>
    </w:p>
    <w:p>
      <w:pPr>
        <w:spacing w:before="0" w:after="0"/>
        <w:ind w:left="120"/>
        <w:jc w:val="center"/>
      </w:pPr>
      <w:r>
        <w:rPr>
          <w:rFonts w:ascii="Times New Roman" w:hAnsi="Times New Roman"/>
          <w:b w:val="false"/>
          <w:i w:val="false"/>
          <w:color w:val="000000"/>
          <w:sz w:val="21"/>
        </w:rPr>
        <w:t>[Editorial change: IAC Supplement 11/4/09]</w:t>
      </w:r>
    </w:p>
    <w:p>
      <w:pPr>
        <w:spacing w:before="0" w:after="0"/>
        <w:ind w:left="120"/>
        <w:jc w:val="center"/>
      </w:pPr>
      <w:r>
        <w:rPr>
          <w:rFonts w:ascii="Times New Roman" w:hAnsi="Times New Roman"/>
          <w:b w:val="false"/>
          <w:i w:val="false"/>
          <w:color w:val="000000"/>
          <w:sz w:val="21"/>
        </w:rPr>
        <w:t>[Filed ARC 8519B</w:t>
      </w:r>
      <w:r>
        <w:rPr>
          <w:rFonts w:ascii="Times New Roman" w:hAnsi="Times New Roman"/>
          <w:b w:val="false"/>
          <w:i w:val="false"/>
          <w:color w:val="000000"/>
          <w:sz w:val="21"/>
        </w:rPr>
        <w:t xml:space="preserve"> (Notice ARC 8291B, IAB 11/18/09)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3500C</w:t>
      </w:r>
      <w:r>
        <w:rPr>
          <w:rFonts w:ascii="Times New Roman" w:hAnsi="Times New Roman"/>
          <w:b w:val="false"/>
          <w:i w:val="false"/>
          <w:color w:val="000000"/>
          <w:sz w:val="21"/>
        </w:rPr>
        <w:t xml:space="preserve"> (Notice ARC 3154C, IAB 7/5/17)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7769C</w:t>
      </w:r>
      <w:r>
        <w:rPr>
          <w:rFonts w:ascii="Times New Roman" w:hAnsi="Times New Roman"/>
          <w:b w:val="false"/>
          <w:i w:val="false"/>
          <w:color w:val="000000"/>
          <w:sz w:val="21"/>
        </w:rPr>
        <w:t xml:space="preserve"> (Notice ARC 7448C,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8102C</w:t>
      </w:r>
      <w:r>
        <w:rPr>
          <w:rFonts w:ascii="Times New Roman" w:hAnsi="Times New Roman"/>
          <w:b w:val="false"/>
          <w:i w:val="false"/>
          <w:color w:val="000000"/>
          <w:sz w:val="21"/>
        </w:rPr>
        <w:t xml:space="preserve"> (Notice ARC 7931C, IAB 5/1/24)</w:t>
      </w:r>
      <w:r>
        <w:rPr>
          <w:rFonts w:ascii="Times New Roman" w:hAnsi="Times New Roman"/>
          <w:b w:val="false"/>
          <w:i w:val="false"/>
          <w:color w:val="000000"/>
          <w:sz w:val="21"/>
        </w:rPr>
        <w:t>, IAB 7/10/24, effective 8/14/24]</w:t>
      </w:r>
    </w:p>
    <w:p>
      <w:pPr>
        <w:pBdr>
          <w:bottom w:space="2"/>
        </w:pBdr>
        <w:spacing w:before="0" w:after="0"/>
        <w:ind w:left="120"/>
        <w:jc w:val="both"/>
      </w:pPr>
      <w:r>
        <w:rPr>
          <w:rFonts w:ascii="Times New Roman" w:hAnsi="Times New Roman"/>
          <w:b w:val="false"/>
          <w:i w:val="false"/>
          <w:color w:val="000000"/>
          <w:sz w:val="22"/>
        </w:rPr>
        <w:t>Effective date of amendment to rule 1.21 delayed 70 days by the Administrative Rules Review Committee.</w:t>
      </w:r>
    </w:p>
    <w:p>
      <w:pPr>
        <w:pBdr>
          <w:bottom w:space="2"/>
        </w:pBdr>
        <w:spacing w:before="0" w:after="0"/>
        <w:ind w:left="120"/>
        <w:jc w:val="both"/>
      </w:pPr>
      <w:r>
        <w:rPr>
          <w:rFonts w:ascii="Times New Roman" w:hAnsi="Times New Roman"/>
          <w:b w:val="false"/>
          <w:i w:val="false"/>
          <w:color w:val="000000"/>
          <w:sz w:val="22"/>
        </w:rPr>
        <w:t>Effective date of 1.31(543B) delayed 70 days by the Administrative Rules Review Committee at its meeting held July 8, 1993.</w:t>
      </w:r>
    </w:p>
    <w:p>
      <w:pPr>
        <w:pBdr>
          <w:bottom w:space="2"/>
        </w:pBdr>
        <w:spacing w:before="0" w:after="0"/>
        <w:ind w:left="120"/>
        <w:jc w:val="both"/>
      </w:pPr>
      <w:r>
        <w:rPr>
          <w:rFonts w:ascii="Times New Roman" w:hAnsi="Times New Roman"/>
          <w:b w:val="false"/>
          <w:i w:val="false"/>
          <w:color w:val="000000"/>
          <w:sz w:val="22"/>
        </w:rPr>
        <w:t>Effective date of 1.1, definition of “referral fee”; 1.41, introductory paragraph; and subrules 1.41(3) and 1.41(7) delayed 70 days by the Administrative Rules Review Committee at its meeting held April 7, 2000; rescinded IAB 6/28/00, effective 6/9/00.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31.pdf" Type="http://schemas.openxmlformats.org/officeDocument/2006/relationships/hyperlink" Id="rId5"/>
    <Relationship TargetMode="External" Target="https://www.legis.iowa.gov/docs/ico/chapter/543B.22.pdf" Type="http://schemas.openxmlformats.org/officeDocument/2006/relationships/hyperlink" Id="rId6"/>
    <Relationship TargetMode="External" Target="https://www.legis.iowa.gov/docs/iac/chapter/193E.8.pdf" Type="http://schemas.openxmlformats.org/officeDocument/2006/relationships/hyperlink" Id="rId7"/>
    <Relationship TargetMode="External" Target="https://www.legis.iowa.gov/docs/ico/chapter/543B.1.pdf" Type="http://schemas.openxmlformats.org/officeDocument/2006/relationships/hyperlink" Id="rId8"/>
    <Relationship TargetMode="External" Target="https://www.legis.iowa.gov/docs/ico/chapter/543B.1.pdf" Type="http://schemas.openxmlformats.org/officeDocument/2006/relationships/hyperlink" Id="rId9"/>
    <Relationship TargetMode="External" Target="https://www.legis.iowa.gov/docs/ico/chapter/543B.29.pdf" Type="http://schemas.openxmlformats.org/officeDocument/2006/relationships/hyperlink" Id="rId10"/>
    <Relationship TargetMode="External" Target="https://www.legis.iowa.gov/docs/ico/chapter/543B.32.pdf" Type="http://schemas.openxmlformats.org/officeDocument/2006/relationships/hyperlink" Id="rId11"/>
    <Relationship TargetMode="External" Target="https://www.legis.iowa.gov/docs/ico/chapter/543B.33.pdf" Type="http://schemas.openxmlformats.org/officeDocument/2006/relationships/hyperlink" Id="rId12"/>
    <Relationship TargetMode="External" Target="https://www.legis.iowa.gov/docs/ico/chapter/543B.16.pdf" Type="http://schemas.openxmlformats.org/officeDocument/2006/relationships/hyperlink" Id="rId13"/>
    <Relationship TargetMode="External" Target="https://www.legis.iowa.gov/docs/ico/chapter/543B.18.pdf" Type="http://schemas.openxmlformats.org/officeDocument/2006/relationships/hyperlink" Id="rId14"/>
    <Relationship TargetMode="External" Target="https://www.legis.iowa.gov/docs/ico/chapter/543B.pdf" Type="http://schemas.openxmlformats.org/officeDocument/2006/relationships/hyperlink" Id="rId15"/>
    <Relationship TargetMode="External" Target="https://www.legis.iowa.gov/docs/ico/chapter/543B.pdf" Type="http://schemas.openxmlformats.org/officeDocument/2006/relationships/hyperlink" Id="rId16"/>
    <Relationship TargetMode="External" Target="https://www.legis.iowa.gov/docs/ico/chapter/543B.29.pdf" Type="http://schemas.openxmlformats.org/officeDocument/2006/relationships/hyperlink" Id="rId17"/>
    <Relationship TargetMode="External" Target="https://www.legis.iowa.gov/docs/ico/chapter/543B.60A.pdf" Type="http://schemas.openxmlformats.org/officeDocument/2006/relationships/hyperlink" Id="rId18"/>
    <Relationship TargetMode="External" Target="https://www.legis.iowa.gov/docs/ico/chapter/553.pdf" Type="http://schemas.openxmlformats.org/officeDocument/2006/relationships/hyperlink" Id="rId19"/>
    <Relationship TargetMode="External" Target="https://www.legis.iowa.gov/docs/ico/chapter/543B.pdf" Type="http://schemas.openxmlformats.org/officeDocument/2006/relationships/hyperlink" Id="rId20"/>
    <Relationship TargetMode="External" Target="https://www.legis.iowa.gov/docs/ico/chapter/543B.29.pdf" Type="http://schemas.openxmlformats.org/officeDocument/2006/relationships/hyperlink" Id="rId21"/>
    <Relationship TargetMode="External" Target="https://www.legis.iowa.gov/docs/ico/chapter/543B.34.pdf" Type="http://schemas.openxmlformats.org/officeDocument/2006/relationships/hyperlink" Id="rId22"/>
    <Relationship TargetMode="External" Target="https://www.legis.iowa.gov/docs/ico/chapter/543B.56.pdf" Type="http://schemas.openxmlformats.org/officeDocument/2006/relationships/hyperlink" Id="rId23"/>
    <Relationship TargetMode="External" Target="https://www.legis.iowa.gov/docs/ico/chapter/543B.62.pdf" Type="http://schemas.openxmlformats.org/officeDocument/2006/relationships/hyperlink" Id="rId24"/>
    <Relationship TargetMode="External" Target="https://www.legis.iowa.gov/docs/ico/chapter/543B.62.pdf" Type="http://schemas.openxmlformats.org/officeDocument/2006/relationships/hyperlink" Id="rId25"/>
    <Relationship TargetMode="External" Target="https://www.legis.iowa.gov/docs/ico/chapter/543B.5.pdf" Type="http://schemas.openxmlformats.org/officeDocument/2006/relationships/hyperlink" Id="rId26"/>
    <Relationship TargetMode="External" Target="https://www.legis.iowa.gov/docs/iac/rule/193E.2.1.pdf" Type="http://schemas.openxmlformats.org/officeDocument/2006/relationships/hyperlink" Id="rId27"/>
    <Relationship TargetMode="External" Target="https://www.legis.iowa.gov/docs/ico/chapter/543B.24.pdf" Type="http://schemas.openxmlformats.org/officeDocument/2006/relationships/hyperlink" Id="rId28"/>
    <Relationship TargetMode="External" Target="https://www.legis.iowa.gov/docs/ico/chapter/543B.33.pdf" Type="http://schemas.openxmlformats.org/officeDocument/2006/relationships/hyperlink" Id="rId29"/>
    <Relationship TargetMode="External" Target="https://www.legis.iowa.gov/docs/ico/chapter/543B.3.pdf" Type="http://schemas.openxmlformats.org/officeDocument/2006/relationships/hyperlink" Id="rId30"/>
    <Relationship TargetMode="External" Target="https://www.legis.iowa.gov/docs/ico/chapter/543B.6.pdf" Type="http://schemas.openxmlformats.org/officeDocument/2006/relationships/hyperlink" Id="rId31"/>
    <Relationship TargetMode="External" Target="https://www.legis.iowa.gov/docs/iac/rule/193E.7.13.pdf" Type="http://schemas.openxmlformats.org/officeDocument/2006/relationships/hyperlink" Id="rId32"/>
    <Relationship TargetMode="External" Target="https://www.legis.iowa.gov/docs/ico/chapter/543B.pdf" Type="http://schemas.openxmlformats.org/officeDocument/2006/relationships/hyperlink" Id="rId33"/>
    <Relationship TargetMode="External" Target="https://www.legis.iowa.gov/docs/ico/chapter/17A.pdf" Type="http://schemas.openxmlformats.org/officeDocument/2006/relationships/hyperlink" Id="rId34"/>
    <Relationship TargetMode="External" Target="https://www.legis.iowa.gov/docs/ico/chapter/272C.pdf" Type="http://schemas.openxmlformats.org/officeDocument/2006/relationships/hyperlink" Id="rId35"/>
    <Relationship TargetMode="External" Target="https://www.legis.iowa.gov/docs/ico/chapter/543B.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