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ENFORCEMENT PROCEEDINGS AGAINST UNLICENSED PERSONS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193E—21.1</w:t>
      </w:r>
      <w:r>
        <w:rPr>
          <w:rFonts w:ascii="Times New Roman" w:hAnsi="Times New Roman"/>
          <w:b/>
          <w:i w:val="false"/>
          <w:color w:val="000000"/>
          <w:sz w:val="22"/>
        </w:rPr>
        <w:t xml:space="preserve">(17A,543B) </w:t>
      </w:r>
      <w:r>
        <w:rPr>
          <w:rFonts w:ascii="Times New Roman" w:hAnsi="Times New Roman"/>
          <w:b/>
          <w:i w:val="false"/>
          <w:color w:val="000000"/>
          <w:sz w:val="22"/>
        </w:rPr>
        <w:t xml:space="preserve">Civil penalties against unlicensed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Commission authority. </w:t>
      </w:r>
      <w:r>
        <w:rPr>
          <w:rFonts w:ascii="Times New Roman" w:hAnsi="Times New Roman"/>
          <w:b w:val="false"/>
          <w:i w:val="false"/>
          <w:color w:val="000000"/>
          <w:sz w:val="22"/>
        </w:rPr>
        <w:t xml:space="preserve">The commission is authorized to issue a cease and desist order and to impose a civil penalty as authorized by Iowa Code section </w:t>
      </w:r>
      <w:hyperlink r:id="rId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against any person who is not licensed by the commission but who acts in the capacity of a real estate broker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Unlicensed person. </w:t>
      </w:r>
      <w:r>
        <w:rPr>
          <w:rFonts w:ascii="Times New Roman" w:hAnsi="Times New Roman"/>
          <w:b w:val="false"/>
          <w:i w:val="false"/>
          <w:color w:val="000000"/>
          <w:sz w:val="22"/>
        </w:rPr>
        <w:t xml:space="preserve">An “unlicensed person” includes any individual or business entity that has never been licensed by the commission, has voluntarily surrendered a license issued by the commission, or has allowed a license issued by the commission to lapse and the time in which the license could have been reinstated pursuant to </w:t>
      </w:r>
      <w:hyperlink r:id="rId6">
        <w:r>
          <w:rPr>
            <w:rStyle w:val="Hyperlink"/>
            <w:rFonts w:ascii="Times New Roman" w:hAnsi="Times New Roman"/>
            <w:b w:val="false"/>
            <w:i w:val="false"/>
            <w:color w:val="000000"/>
            <w:sz w:val="22"/>
          </w:rPr>
          <w:t>rule 193E—3.6(272C,543B)</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193E—4.6(272C,543B)</w:t>
        </w:r>
      </w:hyperlink>
      <w:r>
        <w:rPr>
          <w:rFonts w:ascii="Times New Roman" w:hAnsi="Times New Roman"/>
          <w:b w:val="false"/>
          <w:i w:val="false"/>
          <w:color w:val="000000"/>
          <w:sz w:val="22"/>
        </w:rPr>
        <w:t xml:space="preserve"> has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193E—21.2</w:t>
      </w:r>
      <w:r>
        <w:rPr>
          <w:rFonts w:ascii="Times New Roman" w:hAnsi="Times New Roman"/>
          <w:b/>
          <w:i w:val="false"/>
          <w:color w:val="000000"/>
          <w:sz w:val="22"/>
        </w:rPr>
        <w:t xml:space="preserve">(17A,543B)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which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which need licensure pursuant to Iowa Code sections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which do not fall into the exceptions listed in Iowa Code section </w:t>
      </w:r>
      <w:hyperlink r:id="rId11">
        <w:r>
          <w:rPr>
            <w:rStyle w:val="Hyperlink"/>
            <w:rFonts w:ascii="Times New Roman" w:hAnsi="Times New Roman"/>
            <w:b w:val="false"/>
            <w:i w:val="false"/>
            <w:color w:val="000000"/>
            <w:sz w:val="22"/>
          </w:rPr>
          <w:t>543B.7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Violating Iowa Code section </w:t>
      </w:r>
      <w:hyperlink r:id="rId12">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Violating one or more of the provisions of Iowa Code section </w:t>
      </w:r>
      <w:hyperlink r:id="rId13">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as they relate to acts or practices by unlicensed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license or an expired, suspended, revoked, or nonexistent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real estate professional.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commission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Knowingly aiding or abetting an unlicensed person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193E—21.3</w:t>
      </w:r>
      <w:r>
        <w:rPr>
          <w:rFonts w:ascii="Times New Roman" w:hAnsi="Times New Roman"/>
          <w:b/>
          <w:i w:val="false"/>
          <w:color w:val="000000"/>
          <w:sz w:val="22"/>
        </w:rPr>
        <w:t xml:space="preserve">(17A,543B)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commission is authorized by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to conduct such investigations as are needed to determine whether grounds exist to issue a cease and desist order and to impose civil penalties against an unlicensed person. Such investigations conform to the procedures outlined in </w:t>
      </w:r>
      <w:hyperlink r:id="rId16">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193E—Chapter 18</w:t>
        </w:r>
      </w:hyperlink>
      <w:r>
        <w:rPr>
          <w:rFonts w:ascii="Times New Roman" w:hAnsi="Times New Roman"/>
          <w:b w:val="false"/>
          <w:i w:val="false"/>
          <w:color w:val="000000"/>
          <w:sz w:val="22"/>
        </w:rPr>
        <w:t xml:space="preserve">. Complaint and investigatory files concerning unlicensed persons are not confidential except as may be provided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193E—21.4</w:t>
      </w:r>
      <w:r>
        <w:rPr>
          <w:rFonts w:ascii="Times New Roman" w:hAnsi="Times New Roman"/>
          <w:b/>
          <w:i w:val="false"/>
          <w:color w:val="000000"/>
          <w:sz w:val="22"/>
        </w:rPr>
        <w:t xml:space="preserve">(17A,543B)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the commission is authorized in connection with an investigation of an unlicensed person to issue subpoenas to compel persons to produce books, papers, records and any other real evidence, whether or not privileged or confidential under law, which the commission deems necessary as evidence in connection with the civil penalty proceeding or relevant to the decision of whether to initiate a civil penalty proceeding. Commission procedures concerning investigatory subpoenas are set forth in </w:t>
      </w:r>
      <w:hyperlink r:id="rId21">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193E—21.5</w:t>
      </w:r>
      <w:r>
        <w:rPr>
          <w:rFonts w:ascii="Times New Roman" w:hAnsi="Times New Roman"/>
          <w:b/>
          <w:i w:val="false"/>
          <w:color w:val="000000"/>
          <w:sz w:val="22"/>
        </w:rPr>
        <w:t xml:space="preserve">(17A,543B) </w:t>
      </w:r>
      <w:r>
        <w:rPr>
          <w:rFonts w:ascii="Times New Roman" w:hAnsi="Times New Roman"/>
          <w:b/>
          <w:i w:val="false"/>
          <w:color w:val="000000"/>
          <w:sz w:val="22"/>
        </w:rPr>
        <w:t xml:space="preserve">Notice of intent to impose civil penalty. </w:t>
      </w:r>
      <w:r>
        <w:rPr>
          <w:rFonts w:ascii="Times New Roman" w:hAnsi="Times New Roman"/>
          <w:b w:val="false"/>
          <w:i w:val="false"/>
          <w:color w:val="000000"/>
          <w:sz w:val="22"/>
        </w:rPr>
        <w:t>Prior to issuing a cease and desist order and imposing a civil penalty against an unlicensed person, the commission provides the unlicensed person written notice and the opportunity to request a contested case hearing. Notice of the commission’s intent to issue a cease and desist order and to impose a civil penalty are served by certified mail, return receipt requested, or personal service in accordance with Iowa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cease and desist order would be issued and the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obligate compliance with Iowa Code chapter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unlicensed person’s right to a hearing and the time frame in which hearing is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193E—21.6</w:t>
      </w:r>
      <w:r>
        <w:rPr>
          <w:rFonts w:ascii="Times New Roman" w:hAnsi="Times New Roman"/>
          <w:b/>
          <w:i w:val="false"/>
          <w:color w:val="000000"/>
          <w:sz w:val="22"/>
        </w:rPr>
        <w:t xml:space="preserve">(17A,543B)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Unlicensed persons request a hearing within 30 days of the date the notice is received if served through certified mail, or within 30 days of the date of service if service is accepted or made in accordance with Iowa Rule of Civil Procedure 1.305. A request for hearing is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commission chair or the chair’s designee may issue an order imposing a civil penalty and compliance with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timely made, the commission issues a notice of hearing and conducts a contested case hearing in the same manner as applicable to disciplinary cases against licensees. Rules governing such hearings may be found in </w:t>
      </w:r>
      <w:hyperlink r:id="rId24">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193E—Chapter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fails to timely request a contested case hearing has failed to exhaust “adequate administrative remedies” as that term is used in Iowa Code section </w:t>
      </w:r>
      <w:hyperlink r:id="rId26">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is aggrieved or adversely affected by the commission’s final decision following a contested case hearing may seek judicial review as provided in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may waive the right to hearing and all attendant rights and enter into a consent order imposing a civil penalty and compliance with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at any stage of the proceeding upon mutual consent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w:t>
      </w:r>
      <w:hyperlink r:id="rId30">
        <w:r>
          <w:rPr>
            <w:rStyle w:val="Hyperlink"/>
            <w:rFonts w:ascii="Times New Roman" w:hAnsi="Times New Roman"/>
            <w:b w:val="false"/>
            <w:i w:val="false"/>
            <w:color w:val="000000"/>
            <w:sz w:val="22"/>
          </w:rPr>
          <w:t>193—subrule 7.30(2)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193E—21.7</w:t>
      </w:r>
      <w:r>
        <w:rPr>
          <w:rFonts w:ascii="Times New Roman" w:hAnsi="Times New Roman"/>
          <w:b/>
          <w:i w:val="false"/>
          <w:color w:val="000000"/>
          <w:sz w:val="22"/>
        </w:rPr>
        <w:t xml:space="preserve">(17A,543B) </w:t>
      </w:r>
      <w:r>
        <w:rPr>
          <w:rFonts w:ascii="Times New Roman" w:hAnsi="Times New Roman"/>
          <w:b/>
          <w:i w:val="false"/>
          <w:color w:val="000000"/>
          <w:sz w:val="22"/>
        </w:rPr>
        <w:t xml:space="preserve">Alternative procedure. </w:t>
      </w:r>
      <w:r>
        <w:rPr>
          <w:rFonts w:ascii="Times New Roman" w:hAnsi="Times New Roman"/>
          <w:b w:val="false"/>
          <w:i w:val="false"/>
          <w:color w:val="000000"/>
          <w:sz w:val="22"/>
        </w:rPr>
        <w:t xml:space="preserve">The commission may, as an alternative to the notice and request for hearing procedures described in rules </w:t>
      </w:r>
      <w:hyperlink r:id="rId31">
        <w:r>
          <w:rPr>
            <w:rStyle w:val="Hyperlink"/>
            <w:rFonts w:ascii="Times New Roman" w:hAnsi="Times New Roman"/>
            <w:b w:val="false"/>
            <w:i w:val="false"/>
            <w:color w:val="000000"/>
            <w:sz w:val="22"/>
          </w:rPr>
          <w:t>193E—21.5(17A,543B)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193E—21.6(17A,543B)</w:t>
        </w:r>
      </w:hyperlink>
      <w:r>
        <w:rPr>
          <w:rFonts w:ascii="Times New Roman" w:hAnsi="Times New Roman"/>
          <w:b w:val="false"/>
          <w:i w:val="false"/>
          <w:color w:val="000000"/>
          <w:sz w:val="22"/>
        </w:rPr>
        <w:t>, issue a statement of charges and notice of hearing in a format similar to that used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193E—21.8</w:t>
      </w:r>
      <w:r>
        <w:rPr>
          <w:rFonts w:ascii="Times New Roman" w:hAnsi="Times New Roman"/>
          <w:b/>
          <w:i w:val="false"/>
          <w:color w:val="000000"/>
          <w:sz w:val="22"/>
        </w:rPr>
        <w:t xml:space="preserve">(17A,543B)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commission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commission,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extent to which the unlicensed person cooperated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193E—21.9</w:t>
      </w:r>
      <w:r>
        <w:rPr>
          <w:rFonts w:ascii="Times New Roman" w:hAnsi="Times New Roman"/>
          <w:b/>
          <w:i w:val="false"/>
          <w:color w:val="000000"/>
          <w:sz w:val="22"/>
        </w:rPr>
        <w:t xml:space="preserve">(17A,543B)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commission may seek an injunction in district court, enter into a consent agreement with the unlicensed person, or issue an informal cautionary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6/6/05, Notice 3/16/05—published 7/6/05, effective 8/10/05]</w:t>
      </w:r>
    </w:p>
    <w:p>
      <w:pPr>
        <w:spacing w:before="0" w:after="0"/>
        <w:ind w:left="120"/>
        <w:jc w:val="center"/>
      </w:pPr>
      <w:r>
        <w:rPr>
          <w:rFonts w:ascii="Times New Roman" w:hAnsi="Times New Roman"/>
          <w:b w:val="false"/>
          <w:i w:val="false"/>
          <w:color w:val="000000"/>
          <w:sz w:val="21"/>
        </w:rPr>
        <w:t>[Filed ARC 7783C</w:t>
      </w:r>
      <w:r>
        <w:rPr>
          <w:rFonts w:ascii="Times New Roman" w:hAnsi="Times New Roman"/>
          <w:b w:val="false"/>
          <w:i w:val="false"/>
          <w:color w:val="000000"/>
          <w:sz w:val="21"/>
        </w:rPr>
        <w:t xml:space="preserve"> (Notice ARC 7462C,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4.pdf" Type="http://schemas.openxmlformats.org/officeDocument/2006/relationships/hyperlink" Id="rId5"/>
    <Relationship TargetMode="External" Target="https://www.legis.iowa.gov/docs/iac/rule/193E.3.6.pdf" Type="http://schemas.openxmlformats.org/officeDocument/2006/relationships/hyperlink" Id="rId6"/>
    <Relationship TargetMode="External" Target="https://www.legis.iowa.gov/docs/iac/rule/193E.4.6.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6.pdf" Type="http://schemas.openxmlformats.org/officeDocument/2006/relationships/hyperlink" Id="rId10"/>
    <Relationship TargetMode="External" Target="https://www.legis.iowa.gov/docs/ico/chapter/543B.7.pdf" Type="http://schemas.openxmlformats.org/officeDocument/2006/relationships/hyperlink" Id="rId11"/>
    <Relationship TargetMode="External" Target="https://www.legis.iowa.gov/docs/ico/chapter/543B.1.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543B.34.pdf" Type="http://schemas.openxmlformats.org/officeDocument/2006/relationships/hyperlink" Id="rId15"/>
    <Relationship TargetMode="External" Target="https://www.legis.iowa.gov/docs/iac/chapter/193.6.pdf" Type="http://schemas.openxmlformats.org/officeDocument/2006/relationships/hyperlink" Id="rId16"/>
    <Relationship TargetMode="External" Target="https://www.legis.iowa.gov/docs/iac/chapter/193E.18.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543B.34.pdf" Type="http://schemas.openxmlformats.org/officeDocument/2006/relationships/hyperlink" Id="rId20"/>
    <Relationship TargetMode="External" Target="https://www.legis.iowa.gov/docs/iac/chapter/193.6.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ac/chapter/193.7.pdf" Type="http://schemas.openxmlformats.org/officeDocument/2006/relationships/hyperlink" Id="rId24"/>
    <Relationship TargetMode="External" Target="https://www.legis.iowa.gov/docs/iac/chapter/193E.18.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ac/rule/193.7.30.pdf" Type="http://schemas.openxmlformats.org/officeDocument/2006/relationships/hyperlink" Id="rId30"/>
    <Relationship TargetMode="External" Target="https://www.legis.iowa.gov/docs/iac/rule/193E.21.5.pdf" Type="http://schemas.openxmlformats.org/officeDocument/2006/relationships/hyperlink" Id="rId31"/>
    <Relationship TargetMode="External" Target="https://www.legis.iowa.gov/docs/iac/rule/193E.21.6.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543B.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