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SELLER PROPERTY CONDITION DISCLOSURE</w:t>
      </w:r>
    </w:p>
    <w:p>
      <w:pPr>
        <w:spacing w:before="0" w:after="0"/>
        <w:ind w:left="120"/>
        <w:jc w:val="center"/>
      </w:pPr>
      <w:r>
        <w:rPr>
          <w:rFonts w:ascii="Times New Roman" w:hAnsi="Times New Roman"/>
          <w:b w:val="false"/>
          <w:i w:val="false"/>
          <w:color w:val="000000"/>
          <w:sz w:val="14"/>
        </w:rPr>
        <w:t>[Prior to 9/4/02, see 193E—Ch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193E—14.1</w:t>
      </w:r>
      <w:r>
        <w:rPr>
          <w:rFonts w:ascii="Times New Roman" w:hAnsi="Times New Roman"/>
          <w:b/>
          <w:i w:val="false"/>
          <w:color w:val="000000"/>
          <w:sz w:val="22"/>
        </w:rPr>
        <w:t xml:space="preserve">(543B) </w:t>
      </w:r>
      <w:r>
        <w:rPr>
          <w:rFonts w:ascii="Times New Roman" w:hAnsi="Times New Roman"/>
          <w:b/>
          <w:i w:val="false"/>
          <w:color w:val="000000"/>
          <w:sz w:val="22"/>
        </w:rPr>
        <w:t xml:space="preserve">Property condition disclosure. </w:t>
      </w:r>
      <w:r>
        <w:rPr>
          <w:rFonts w:ascii="Times New Roman" w:hAnsi="Times New Roman"/>
          <w:b w:val="false"/>
          <w:i w:val="false"/>
          <w:color w:val="000000"/>
          <w:sz w:val="22"/>
        </w:rPr>
        <w:t xml:space="preserve">The criteria of this chapter applies to transfers of real estate subject to Iowa Code chapter </w:t>
      </w:r>
      <w:hyperlink r:id="rId5">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xml:space="preserve">. For purposes of this chapter, “transfer” means the same as Iowa Code section </w:t>
      </w:r>
      <w:hyperlink r:id="rId6">
        <w:r>
          <w:rPr>
            <w:rStyle w:val="Hyperlink"/>
            <w:rFonts w:ascii="Times New Roman" w:hAnsi="Times New Roman"/>
            <w:b w:val="false"/>
            <w:i w:val="false"/>
            <w:color w:val="000000"/>
            <w:sz w:val="22"/>
          </w:rPr>
          <w:t>558A.1(5)</w:t>
        </w:r>
      </w:hyperlink>
      <w:r>
        <w:rPr>
          <w:rFonts w:ascii="Times New Roman" w:hAnsi="Times New Roman"/>
          <w:b w:val="false"/>
          <w:i w:val="false"/>
          <w:color w:val="000000"/>
          <w:sz w:val="22"/>
        </w:rPr>
        <w:t xml:space="preserve"> and “agent” means the same as Iowa Code section </w:t>
      </w:r>
      <w:hyperlink r:id="rId7">
        <w:r>
          <w:rPr>
            <w:rStyle w:val="Hyperlink"/>
            <w:rFonts w:ascii="Times New Roman" w:hAnsi="Times New Roman"/>
            <w:b w:val="false"/>
            <w:i w:val="false"/>
            <w:color w:val="000000"/>
            <w:sz w:val="22"/>
          </w:rPr>
          <w:t>558A.1(1)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 </w:t>
      </w:r>
      <w:r>
        <w:rPr>
          <w:rFonts w:ascii="Times New Roman" w:hAnsi="Times New Roman"/>
          <w:b w:val="false"/>
          <w:i w:val="false"/>
          <w:color w:val="000000"/>
          <w:sz w:val="22"/>
        </w:rPr>
        <w:t>Nothing in this rule is intended to prevent any additional disclosure or to relieve the parties or agents in the transaction from making any disclosure otherwise mandated by law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to seller. </w:t>
      </w:r>
      <w:r>
        <w:rPr>
          <w:rFonts w:ascii="Times New Roman" w:hAnsi="Times New Roman"/>
          <w:b w:val="false"/>
          <w:i w:val="false"/>
          <w:color w:val="000000"/>
          <w:sz w:val="22"/>
        </w:rPr>
        <w:t>At the time a licensee obtains a listing, the listing licensee obtains a completed disclosure signed and dated by each seller represented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representing a seller delivers the executed statement to a potential buyer, a potential buyer’s agent, or any other third party who may be representing a potential buyer, prior to the seller’s making a written offer to sell or the seller’s accepting a written offer to buy.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representing a seller attempts to obtain the buyer’s signature and date of signature on the statement and provides the seller and the buyer with fully executed copies of the disclosure and maintains a copy of the written acknowledgment in the transaction file. If the licensee is unable to obtain the buyer’s signature, the licensee obtains other documentation establishing delivery of the disclosure and maintains the written documentation in the transaction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transaction closes, the listing broker maintains the completed disclosure statement for a minimum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executed disclosure statement is delivered to the buyer(s) or the buyer’s agent in accordance with Iowa Code section </w:t>
      </w:r>
      <w:hyperlink r:id="rId8">
        <w:r>
          <w:rPr>
            <w:rStyle w:val="Hyperlink"/>
            <w:rFonts w:ascii="Times New Roman" w:hAnsi="Times New Roman"/>
            <w:b w:val="false"/>
            <w:i w:val="false"/>
            <w:color w:val="000000"/>
            <w:sz w:val="22"/>
          </w:rPr>
          <w:t>558A.2(2)</w:t>
        </w:r>
      </w:hyperlink>
      <w:r>
        <w:rPr>
          <w:rFonts w:ascii="Times New Roman" w:hAnsi="Times New Roman"/>
          <w:b w:val="false"/>
          <w:i w:val="false"/>
          <w:color w:val="000000"/>
          <w:sz w:val="22"/>
        </w:rPr>
        <w:t>. If there is more than one buyer, any one buyer or buyer’s agent may accept delivery of the executed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to buyer. </w:t>
      </w:r>
      <w:r>
        <w:rPr>
          <w:rFonts w:ascii="Times New Roman" w:hAnsi="Times New Roman"/>
          <w:b w:val="false"/>
          <w:i w:val="false"/>
          <w:color w:val="000000"/>
          <w:sz w:val="22"/>
        </w:rPr>
        <w:t>A licensee representing a buyer in a transfer notifies the buyer of the seller’s obligation to deliver the property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disclosure statement is not delivered when mandated, the licensee notifies the buyer that the buyer may revoke or withdraw the offer and follows Iowa Code section </w:t>
      </w:r>
      <w:hyperlink r:id="rId9">
        <w:r>
          <w:rPr>
            <w:rStyle w:val="Hyperlink"/>
            <w:rFonts w:ascii="Times New Roman" w:hAnsi="Times New Roman"/>
            <w:b w:val="false"/>
            <w:i w:val="false"/>
            <w:color w:val="000000"/>
            <w:sz w:val="22"/>
          </w:rPr>
          <w:t>558A.2(2)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color w:val="000000"/>
          <w:sz w:val="22"/>
        </w:rPr>
        <w:t xml:space="preserve">Inclusion of written reports. </w:t>
      </w:r>
      <w:r>
        <w:rPr>
          <w:rFonts w:ascii="Times New Roman" w:hAnsi="Times New Roman"/>
          <w:b w:val="false"/>
          <w:i w:val="false"/>
          <w:color w:val="000000"/>
          <w:sz w:val="22"/>
        </w:rPr>
        <w:t xml:space="preserve">A written report or opinion prepared by a person qualified to render the report or opinion may be included in a disclosure statement. A report may be prepared by those authorized by Iowa Code section </w:t>
      </w:r>
      <w:hyperlink r:id="rId10">
        <w:r>
          <w:rPr>
            <w:rStyle w:val="Hyperlink"/>
            <w:rFonts w:ascii="Times New Roman" w:hAnsi="Times New Roman"/>
            <w:b w:val="false"/>
            <w:i w:val="false"/>
            <w:color w:val="000000"/>
            <w:sz w:val="22"/>
          </w:rPr>
          <w:t>558A.4(1)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 identifies the necessary disclosure items which are to be satisfied by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report is prepared for the specific purpose of satisfying the disclosure criteria, the preparer of the report follows Iowa Code section </w:t>
      </w:r>
      <w:hyperlink r:id="rId11">
        <w:r>
          <w:rPr>
            <w:rStyle w:val="Hyperlink"/>
            <w:rFonts w:ascii="Times New Roman" w:hAnsi="Times New Roman"/>
            <w:b w:val="false"/>
            <w:i w:val="false"/>
            <w:color w:val="000000"/>
            <w:sz w:val="22"/>
          </w:rPr>
          <w:t>558A.4(1)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representing a seller provides the seller with information on the proper use of reports if reports are used as part of the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w:t>
      </w:r>
      <w:r>
        <w:rPr>
          <w:rFonts w:ascii="Times New Roman" w:hAnsi="Times New Roman"/>
          <w:b w:val="false"/>
          <w:i w:val="false"/>
          <w:color w:val="000000"/>
          <w:sz w:val="22"/>
        </w:rPr>
        <w:t> </w:t>
      </w:r>
      <w:r>
        <w:rPr>
          <w:rFonts w:ascii="Times New Roman" w:hAnsi="Times New Roman"/>
          <w:b w:val="false"/>
          <w:i/>
          <w:color w:val="000000"/>
          <w:sz w:val="22"/>
        </w:rPr>
        <w:t xml:space="preserve">Amended disclosure statement. </w:t>
      </w:r>
      <w:r>
        <w:rPr>
          <w:rFonts w:ascii="Times New Roman" w:hAnsi="Times New Roman"/>
          <w:b w:val="false"/>
          <w:i w:val="false"/>
          <w:color w:val="000000"/>
          <w:sz w:val="22"/>
        </w:rPr>
        <w:t xml:space="preserve">A licensee’s obligations with respect to any amended disclosure statement are the same as the licensee’s obligations with respect to the original disclosure statement. A disclosure statement is amended if authorized by Iowa Code section </w:t>
      </w:r>
      <w:hyperlink r:id="rId12">
        <w:r>
          <w:rPr>
            <w:rStyle w:val="Hyperlink"/>
            <w:rFonts w:ascii="Times New Roman" w:hAnsi="Times New Roman"/>
            <w:b w:val="false"/>
            <w:i w:val="false"/>
            <w:color w:val="000000"/>
            <w:sz w:val="22"/>
          </w:rPr>
          <w:t>558A.3(2)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receipt of disclosure statement by electronic means. </w:t>
      </w:r>
      <w:r>
        <w:rPr>
          <w:rFonts w:ascii="Times New Roman" w:hAnsi="Times New Roman"/>
          <w:b w:val="false"/>
          <w:i w:val="false"/>
          <w:color w:val="000000"/>
          <w:sz w:val="22"/>
        </w:rPr>
        <w:t xml:space="preserve">Whether or not a licensee assists in a real estate transaction, electronic delivery of any property disclosure statement mandated by Iowa Code chapter </w:t>
      </w:r>
      <w:hyperlink r:id="rId13">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xml:space="preserve"> is not deemed completed until written acknowledgment of receipt is provided to the transferor by the transferee or the transferee’s agent. Acceptable acknowledgment of receipt includes return of a fully executed copy of the property disclosure statement to the transferor by the transferee or the transferee’s agent; or a letter, electronic mail, text message, or other written correspondence to the transferor from the transferee or the transferee’s agent acknowledging receipt. A computer-generated read receipt, facsimile delivery confirmation, or other automated return message is not deemed acknowledgment of receipt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w:t>
      </w:r>
      <w:r>
        <w:rPr>
          <w:rFonts w:ascii="Times New Roman" w:hAnsi="Times New Roman"/>
          <w:b w:val="false"/>
          <w:i w:val="false"/>
          <w:color w:val="000000"/>
          <w:sz w:val="22"/>
        </w:rPr>
        <w:t> </w:t>
      </w:r>
      <w:r>
        <w:rPr>
          <w:rFonts w:ascii="Times New Roman" w:hAnsi="Times New Roman"/>
          <w:b w:val="false"/>
          <w:i/>
          <w:color w:val="000000"/>
          <w:sz w:val="22"/>
        </w:rPr>
        <w:t xml:space="preserve">Minimum disclosure statement contents for all transfers. </w:t>
      </w:r>
      <w:r>
        <w:rPr>
          <w:rFonts w:ascii="Times New Roman" w:hAnsi="Times New Roman"/>
          <w:b w:val="false"/>
          <w:i w:val="false"/>
          <w:color w:val="000000"/>
          <w:sz w:val="22"/>
        </w:rPr>
        <w:t xml:space="preserve">All property disclosure statements, whether or not a licensee assists in the transaction, contain at a minimum the information mandated by the following sample statement. No particular language is necessary in the disclosure statement provided that the necessary disclosure items are included and the disclosure complies with Iowa Code chapter </w:t>
      </w:r>
      <w:hyperlink r:id="rId14">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To assist real estate licensees and the public, the commission recommends use of the following sample language: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0"/>
        </w:rPr>
        <w:t>RESIDENTIAL PROPERTY SELLER DISCLOSURE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Property address: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PURPOSE:</w:t>
      </w:r>
    </w:p>
    <w:p>
      <w:pPr>
        <w:spacing w:before="0" w:after="0"/>
        <w:ind w:left="460"/>
        <w:jc w:val="both"/>
      </w:pPr>
      <w:r>
        <w:rPr>
          <w:rFonts w:ascii="Times New Roman" w:hAnsi="Times New Roman"/>
          <w:b w:val="false"/>
          <w:i w:val="false"/>
          <w:color w:val="000000"/>
          <w:sz w:val="22"/>
        </w:rPr>
        <w:t xml:space="preserve">Use this statement to disclose information as mandated by Iowa Code chapter </w:t>
      </w:r>
      <w:hyperlink r:id="rId15">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This law obligates certain sellers of residential property that includes at least one and no more than four dwelling units to disclose information about the property to be sold. The following disclosures are made by the seller(s) and not by any agent acting on behalf of the seller(s).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INSTRUCTIONS TO SELLER(S):</w:t>
      </w:r>
    </w:p>
    <w:tbl>
      <w:tblPr>
        <w:tblW w:w="5000" w:type="pct"/>
        <w:tblCellSpacing w:w="0" w:type="auto"/>
        <w:tblBorders>
          <w:top w:val="none"/>
          <w:left w:val="none"/>
          <w:bottom w:val="none"/>
          <w:right w:val="none"/>
          <w:insideH w:val="none"/>
          <w:insideV w:val="none"/>
        </w:tblBorders>
        <w:tblLayout w:type="fixed"/>
      </w:tblPr>
      <w:tblGrid>
        <w:gridCol w:w="6986"/>
        <w:gridCol w:w="1490"/>
        <w:gridCol w:w="1357"/>
        <w:gridCol w:w="1357"/>
      </w:tblGrid>
      <w:tr>
        <w:trPr>
          <w:trHeight w:val="1485"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Seller(s) completes this statement. Respond to all questions, or attach reports allowed by Iowa Code section </w:t>
            </w:r>
            <w:hyperlink r:id="rId16">
              <w:r>
                <w:rPr>
                  <w:rStyle w:val="Hyperlink"/>
                  <w:rFonts w:ascii="Times New Roman" w:hAnsi="Times New Roman"/>
                  <w:b w:val="false"/>
                  <w:i w:val="false"/>
                  <w:color w:val="000000"/>
                  <w:sz w:val="16"/>
                </w:rPr>
                <w:t>558A.4(2)</w:t>
              </w:r>
            </w:hyperlink>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Disclose all known conditions materially affecting this property;</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If an item does not apply to this property, indicate that it is not applicable </w:t>
            </w:r>
            <w:r>
              <w:rPr>
                <w:rFonts w:ascii="Times New Roman" w:hAnsi="Times New Roman"/>
                <w:b/>
                <w:i w:val="false"/>
                <w:color w:val="000000"/>
                <w:sz w:val="16"/>
              </w:rPr>
              <w:t>(N/A)</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 xml:space="preserve">Please provide information in good faith and make a reasonable effort to ascertain the necessary information. If the necessary information is </w:t>
            </w:r>
            <w:r>
              <w:rPr>
                <w:rFonts w:ascii="Times New Roman" w:hAnsi="Times New Roman"/>
                <w:b/>
                <w:i w:val="false"/>
                <w:color w:val="000000"/>
                <w:sz w:val="16"/>
              </w:rPr>
              <w:t>unknown</w:t>
            </w:r>
            <w:r>
              <w:rPr>
                <w:rFonts w:ascii="Times New Roman" w:hAnsi="Times New Roman"/>
                <w:b w:val="false"/>
                <w:i w:val="false"/>
                <w:color w:val="000000"/>
                <w:sz w:val="16"/>
              </w:rPr>
              <w:t xml:space="preserve"> or is </w:t>
            </w:r>
            <w:r>
              <w:rPr>
                <w:rFonts w:ascii="Times New Roman" w:hAnsi="Times New Roman"/>
                <w:b/>
                <w:i w:val="false"/>
                <w:color w:val="000000"/>
                <w:sz w:val="16"/>
              </w:rPr>
              <w:t>unavailable</w:t>
            </w:r>
            <w:r>
              <w:rPr>
                <w:rFonts w:ascii="Times New Roman" w:hAnsi="Times New Roman"/>
                <w:b w:val="false"/>
                <w:i w:val="false"/>
                <w:color w:val="000000"/>
                <w:sz w:val="16"/>
              </w:rPr>
              <w:t xml:space="preserve"> following a reasonable effort, use an </w:t>
            </w:r>
            <w:r>
              <w:rPr>
                <w:rFonts w:ascii="Times New Roman" w:hAnsi="Times New Roman"/>
                <w:b/>
                <w:i w:val="false"/>
                <w:color w:val="000000"/>
                <w:sz w:val="16"/>
              </w:rPr>
              <w:t>approximation</w:t>
            </w:r>
            <w:r>
              <w:rPr>
                <w:rFonts w:ascii="Times New Roman" w:hAnsi="Times New Roman"/>
                <w:b w:val="false"/>
                <w:i w:val="false"/>
                <w:color w:val="000000"/>
                <w:sz w:val="16"/>
              </w:rPr>
              <w:t xml:space="preserve"> of the information, or indicate that the information is </w:t>
            </w:r>
            <w:r>
              <w:rPr>
                <w:rFonts w:ascii="Times New Roman" w:hAnsi="Times New Roman"/>
                <w:b/>
                <w:i w:val="false"/>
                <w:color w:val="000000"/>
                <w:sz w:val="16"/>
              </w:rPr>
              <w:t>unknown (UNK)</w:t>
            </w:r>
            <w:r>
              <w:rPr>
                <w:rFonts w:ascii="Times New Roman" w:hAnsi="Times New Roman"/>
                <w:b w:val="false"/>
                <w:i w:val="false"/>
                <w:color w:val="000000"/>
                <w:sz w:val="16"/>
              </w:rPr>
              <w:t xml:space="preserve">. All </w:t>
            </w:r>
            <w:r>
              <w:rPr>
                <w:rFonts w:ascii="Times New Roman" w:hAnsi="Times New Roman"/>
                <w:b/>
                <w:i w:val="false"/>
                <w:color w:val="000000"/>
                <w:sz w:val="16"/>
              </w:rPr>
              <w:t>approximations</w:t>
            </w:r>
            <w:r>
              <w:rPr>
                <w:rFonts w:ascii="Times New Roman" w:hAnsi="Times New Roman"/>
                <w:b w:val="false"/>
                <w:i w:val="false"/>
                <w:color w:val="000000"/>
                <w:sz w:val="16"/>
              </w:rPr>
              <w:t xml:space="preserve"> are identified as </w:t>
            </w:r>
            <w:r>
              <w:rPr>
                <w:rFonts w:ascii="Times New Roman" w:hAnsi="Times New Roman"/>
                <w:b/>
                <w:i w:val="false"/>
                <w:color w:val="000000"/>
                <w:sz w:val="16"/>
              </w:rPr>
              <w:t>approximations (AP)</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5.   </w:t>
            </w:r>
            <w:r>
              <w:rPr>
                <w:rFonts w:ascii="Times New Roman" w:hAnsi="Times New Roman"/>
                <w:b w:val="false"/>
                <w:i w:val="false"/>
                <w:color w:val="000000"/>
                <w:sz w:val="16"/>
              </w:rPr>
              <w:t>Additional pages may be attached as needed;</w:t>
            </w:r>
          </w:p>
          <w:p>
            <w:pPr>
              <w:spacing w:before="0" w:after="0"/>
              <w:ind w:left="160"/>
              <w:jc w:val="left"/>
            </w:pPr>
            <w:r>
              <w:rPr>
                <w:rFonts w:ascii="Times New Roman" w:hAnsi="Times New Roman"/>
                <w:b w:val="false"/>
                <w:i w:val="false"/>
                <w:color w:val="000000"/>
                <w:sz w:val="16"/>
              </w:rPr>
              <w:t>     6.   </w:t>
            </w:r>
            <w:r>
              <w:rPr>
                <w:rFonts w:ascii="Times New Roman" w:hAnsi="Times New Roman"/>
                <w:b w:val="false"/>
                <w:i w:val="false"/>
                <w:color w:val="000000"/>
                <w:sz w:val="16"/>
              </w:rPr>
              <w:t>Keep a copy of this statement with your other important papers.</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 Basement/Foundation: Any known water or other problems?</w:t>
            </w:r>
          </w:p>
        </w:tc>
        <w:tc>
          <w:tcPr>
            <w:tcW w:w="13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2. Roof: Any known problems?</w:t>
            </w:r>
          </w:p>
        </w:tc>
        <w:tc>
          <w:tcPr>
            <w:tcW w:w="13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Any known repairs?</w:t>
            </w:r>
          </w:p>
        </w:tc>
        <w:tc>
          <w:tcPr>
            <w:tcW w:w="13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Well and Pump: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6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N/A check here [ ]</w:t>
            </w:r>
          </w:p>
        </w:tc>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36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 of repairs/replacement: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Any known water tests?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 of last report: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and results: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Septic Tanks/Drain Fields: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6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N/A check here [ ]</w:t>
            </w:r>
          </w:p>
        </w:tc>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Location of tank: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Date tank last cleaned: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Sewer System: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 of repairs/replacement: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Heating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 Central Cooling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Plumbing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 Electrical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Pest Infestation (e.g., termites, carpenter ants):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date(s) of treatment: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Any known structural damage?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date(s)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Asbestos: Any known to be present in the structure?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explain: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Radon: Any known tests for the presence of radon gas?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date of last report: ____/____/____</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and results: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Lead-Based Paint: Any known to be present in the structure?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Flood Plain: Do you know if the property is located in a flood plain?</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what is the flood plain designation?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Zoning: Do you know the zoning classification of the property?</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what is the zoning classification?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Covenants: Is the property subject to restrictive covenants?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If yes, attach a copy or state where a true, current copy of the covenants can be obtained: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left"/>
            </w:pPr>
          </w:p>
        </w:tc>
      </w:tr>
      <w:tr>
        <w:trPr>
          <w:trHeight w:val="570" w:hRule="atLeast"/>
        </w:trPr>
        <w:tc>
          <w:tcPr>
            <w:tcW w:w="0" w:type="auto"/>
            <w:gridSpan w:val="2"/>
            <w:tcBorders/>
            <w:tcMar>
              <w:top w:w="30" w:type="dxa"/>
              <w:left w:w="30" w:type="dxa"/>
              <w:bottom w:w="15" w:type="dxa"/>
              <w:right w:w="30" w:type="dxa"/>
            </w:tcMar>
            <w:vAlign w:val="top"/>
          </w:tcPr>
          <w:p>
            <w:pPr>
              <w:spacing w:before="0" w:after="0"/>
              <w:ind w:left="454"/>
              <w:jc w:val="both"/>
            </w:pPr>
            <w:r>
              <w:rPr>
                <w:rFonts w:ascii="Times New Roman" w:hAnsi="Times New Roman"/>
                <w:b w:val="false"/>
                <w:i w:val="false"/>
                <w:color w:val="000000"/>
                <w:sz w:val="16"/>
              </w:rPr>
              <w:t>17. Shared or Co-Owned Features: Any features of the property known to be shared in common with adjoining landowners, such as walls, fences, roads, and driveways whose use or maintenance responsibility may have an effect on the property?</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570" w:hRule="atLeast"/>
        </w:trPr>
        <w:tc>
          <w:tcPr>
            <w:tcW w:w="0" w:type="auto"/>
            <w:gridSpan w:val="2"/>
            <w:tcBorders/>
            <w:tcMar>
              <w:top w:w="30" w:type="dxa"/>
              <w:left w:w="30" w:type="dxa"/>
              <w:bottom w:w="15" w:type="dxa"/>
              <w:right w:w="30" w:type="dxa"/>
            </w:tcMar>
            <w:vAlign w:val="top"/>
          </w:tcPr>
          <w:p>
            <w:pPr>
              <w:spacing w:before="0" w:after="0"/>
              <w:ind w:left="454"/>
              <w:jc w:val="left"/>
            </w:pPr>
            <w:r>
              <w:rPr>
                <w:rFonts w:ascii="Times New Roman" w:hAnsi="Times New Roman"/>
                <w:b w:val="false"/>
                <w:i w:val="false"/>
                <w:color w:val="000000"/>
                <w:sz w:val="16"/>
              </w:rPr>
              <w:t xml:space="preserve">Any known </w:t>
            </w:r>
            <w:r>
              <w:rPr>
                <w:rFonts w:ascii="Times New Roman" w:hAnsi="Times New Roman"/>
                <w:b w:val="false"/>
                <w:i/>
                <w:color w:val="000000"/>
                <w:sz w:val="16"/>
              </w:rPr>
              <w:t>“common areas”</w:t>
            </w:r>
            <w:r>
              <w:rPr>
                <w:rFonts w:ascii="Times New Roman" w:hAnsi="Times New Roman"/>
                <w:b w:val="false"/>
                <w:i w:val="false"/>
                <w:color w:val="000000"/>
                <w:sz w:val="16"/>
              </w:rPr>
              <w:t xml:space="preserve"> such as pools, tennis courts, walkways, or other areas co-owned with others, or a Homeowner’s Association which has any authority over the property?</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454"/>
              <w:jc w:val="left"/>
            </w:pPr>
            <w:r>
              <w:rPr>
                <w:rFonts w:ascii="Times New Roman" w:hAnsi="Times New Roman"/>
                <w:b w:val="false"/>
                <w:i w:val="false"/>
                <w:color w:val="000000"/>
                <w:sz w:val="16"/>
              </w:rPr>
              <w:t>18. Physical Problems: Any known settling, flooding, drainage or grading problems?</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 Structural Damage: Any known structural damage?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bl>
    <w:p>
      <w:pPr>
        <w:spacing w:before="0" w:after="0"/>
        <w:ind w:left="120"/>
        <w:jc w:val="both"/>
      </w:pPr>
      <w:r>
        <w:rPr>
          <w:rFonts w:ascii="Times New Roman" w:hAnsi="Times New Roman"/>
          <w:b w:val="false"/>
          <w:i w:val="false"/>
          <w:color w:val="000000"/>
          <w:sz w:val="22"/>
        </w:rPr>
        <w:t xml:space="preserve">You need to explain any </w:t>
      </w:r>
      <w:r>
        <w:rPr>
          <w:rFonts w:ascii="Times New Roman" w:hAnsi="Times New Roman"/>
          <w:b w:val="false"/>
          <w:i/>
          <w:color w:val="000000"/>
          <w:sz w:val="22"/>
        </w:rPr>
        <w:t>“YES”</w:t>
      </w:r>
      <w:r>
        <w:rPr>
          <w:rFonts w:ascii="Times New Roman" w:hAnsi="Times New Roman"/>
          <w:b w:val="false"/>
          <w:i w:val="false"/>
          <w:color w:val="000000"/>
          <w:sz w:val="22"/>
        </w:rPr>
        <w:t xml:space="preserve"> response(s) above. Use the back of this statement or additional sheets as necessary: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SELLER(S) DISCLOSURE: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Seller(s) discloses the information regarding this property based on information known or reasonably available to the Seller(s).</w:t>
      </w:r>
    </w:p>
    <w:p>
      <w:pPr>
        <w:spacing w:before="0" w:after="0"/>
        <w:ind w:left="120"/>
        <w:jc w:val="both"/>
      </w:pPr>
      <w:r>
        <w:rPr>
          <w:rFonts w:ascii="Times New Roman" w:hAnsi="Times New Roman"/>
          <w:b w:val="false"/>
          <w:i w:val="false"/>
          <w:color w:val="000000"/>
          <w:sz w:val="22"/>
        </w:rPr>
        <w:t>The Seller(s) has owned the property since ____/____/____. The Seller(s) certifies that as of the date signed this information is true and accurate to the best of my/our knowledge.</w:t>
      </w:r>
    </w:p>
    <w:p>
      <w:pPr>
        <w:spacing w:before="0" w:after="0"/>
        <w:ind w:left="120"/>
        <w:jc w:val="both"/>
      </w:pPr>
      <w:r>
        <w:rPr>
          <w:rFonts w:ascii="Times New Roman" w:hAnsi="Times New Roman"/>
          <w:b w:val="false"/>
          <w:i w:val="false"/>
          <w:color w:val="000000"/>
          <w:sz w:val="22"/>
        </w:rPr>
        <w:t>Seller(s) acknowledges that Buyer(s) be provided with the “Iowa Radon Home-Buyers and Sellers Fact Sheet” prepared by the Iowa Department of Health and Human Services.</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Seller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Seller</w:t>
            </w:r>
          </w:p>
        </w:tc>
      </w:tr>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____/____/____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____/____/____</w:t>
            </w:r>
          </w:p>
        </w:tc>
      </w:tr>
    </w:tbl>
    <w:p>
      <w:pPr>
        <w:spacing w:before="0" w:after="0"/>
        <w:ind w:left="120"/>
        <w:jc w:val="both"/>
      </w:pPr>
      <w:r>
        <w:rPr>
          <w:rFonts w:ascii="Times New Roman" w:hAnsi="Times New Roman"/>
          <w:b/>
          <w:i w:val="false"/>
          <w:color w:val="000000"/>
          <w:sz w:val="22"/>
        </w:rPr>
        <w:t>BUYER(S) ACKNOWLEDGMENT:</w:t>
      </w:r>
    </w:p>
    <w:p>
      <w:pPr>
        <w:spacing w:before="0" w:after="0"/>
        <w:ind w:left="120"/>
        <w:jc w:val="both"/>
      </w:pPr>
      <w:r>
        <w:rPr>
          <w:rFonts w:ascii="Times New Roman" w:hAnsi="Times New Roman"/>
          <w:b w:val="false"/>
          <w:i w:val="false"/>
          <w:color w:val="000000"/>
          <w:sz w:val="22"/>
        </w:rPr>
        <w:t>Buyer(s) acknowledges receipt of a copy of this Real Estate Disclosure Statement. This statement is not intended to be a warranty or to substitute for any inspection Buyer(s) may wish to obtain.</w:t>
      </w:r>
    </w:p>
    <w:p>
      <w:pPr>
        <w:spacing w:before="0" w:after="0"/>
        <w:ind w:left="120"/>
        <w:jc w:val="both"/>
      </w:pPr>
      <w:r>
        <w:rPr>
          <w:rFonts w:ascii="Times New Roman" w:hAnsi="Times New Roman"/>
          <w:b w:val="false"/>
          <w:i w:val="false"/>
          <w:color w:val="000000"/>
          <w:sz w:val="22"/>
        </w:rPr>
        <w:t>Buyer(s) acknowledges receipt of the “Iowa Radon Home-Buyers and Sellers Fact Sheet” prepared by the Iowa Department of Health and Human Services.</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Buyer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Buyer</w:t>
            </w:r>
          </w:p>
        </w:tc>
      </w:tr>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____/____/____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____/____/____</w:t>
            </w:r>
          </w:p>
        </w:tc>
      </w:tr>
    </w:tbl>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11/7/05, Notice 8/31/05—published 12/7/05, effective 1/11/06]</w:t>
      </w:r>
    </w:p>
    <w:p>
      <w:pPr>
        <w:spacing w:before="0" w:after="0"/>
        <w:ind w:left="120"/>
        <w:jc w:val="center"/>
      </w:pPr>
      <w:r>
        <w:rPr>
          <w:rFonts w:ascii="Times New Roman" w:hAnsi="Times New Roman"/>
          <w:b w:val="false"/>
          <w:i w:val="false"/>
          <w:color w:val="000000"/>
          <w:sz w:val="21"/>
        </w:rPr>
        <w:t>[Editorial change: IAC Supplement 9/10/08]</w:t>
      </w:r>
    </w:p>
    <w:p>
      <w:pPr>
        <w:spacing w:before="0" w:after="0"/>
        <w:ind w:left="120"/>
        <w:jc w:val="center"/>
      </w:pPr>
      <w:r>
        <w:rPr>
          <w:rFonts w:ascii="Times New Roman" w:hAnsi="Times New Roman"/>
          <w:b w:val="false"/>
          <w:i w:val="false"/>
          <w:color w:val="000000"/>
          <w:sz w:val="21"/>
        </w:rPr>
        <w:t>[Filed ARC 7950B</w:t>
      </w:r>
      <w:r>
        <w:rPr>
          <w:rFonts w:ascii="Times New Roman" w:hAnsi="Times New Roman"/>
          <w:b w:val="false"/>
          <w:i w:val="false"/>
          <w:color w:val="000000"/>
          <w:sz w:val="21"/>
        </w:rPr>
        <w:t xml:space="preserve"> (Notice ARC 7639B, IAB 3/25/09)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8285B</w:t>
      </w:r>
      <w:r>
        <w:rPr>
          <w:rFonts w:ascii="Times New Roman" w:hAnsi="Times New Roman"/>
          <w:b w:val="false"/>
          <w:i w:val="false"/>
          <w:color w:val="000000"/>
          <w:sz w:val="21"/>
        </w:rPr>
        <w:t xml:space="preserve"> (Notice ARC 8057B, IAB 8/26/09)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3722C</w:t>
      </w:r>
      <w:r>
        <w:rPr>
          <w:rFonts w:ascii="Times New Roman" w:hAnsi="Times New Roman"/>
          <w:b w:val="false"/>
          <w:i w:val="false"/>
          <w:color w:val="000000"/>
          <w:sz w:val="21"/>
        </w:rPr>
        <w:t xml:space="preserve"> (Notice ARC 3564C, IAB 1/17/18)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7776C</w:t>
      </w:r>
      <w:r>
        <w:rPr>
          <w:rFonts w:ascii="Times New Roman" w:hAnsi="Times New Roman"/>
          <w:b w:val="false"/>
          <w:i w:val="false"/>
          <w:color w:val="000000"/>
          <w:sz w:val="21"/>
        </w:rPr>
        <w:t xml:space="preserve"> (Notice ARC 7455C,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58A.pdf" Type="http://schemas.openxmlformats.org/officeDocument/2006/relationships/hyperlink" Id="rId5"/>
    <Relationship TargetMode="External" Target="https://www.legis.iowa.gov/docs/ico/chapter/558A.1.pdf" Type="http://schemas.openxmlformats.org/officeDocument/2006/relationships/hyperlink" Id="rId6"/>
    <Relationship TargetMode="External" Target="https://www.legis.iowa.gov/docs/ico/chapter/558A.1.pdf" Type="http://schemas.openxmlformats.org/officeDocument/2006/relationships/hyperlink" Id="rId7"/>
    <Relationship TargetMode="External" Target="https://www.legis.iowa.gov/docs/ico/chapter/558A.2.pdf" Type="http://schemas.openxmlformats.org/officeDocument/2006/relationships/hyperlink" Id="rId8"/>
    <Relationship TargetMode="External" Target="https://www.legis.iowa.gov/docs/ico/chapter/558A.2.pdf" Type="http://schemas.openxmlformats.org/officeDocument/2006/relationships/hyperlink" Id="rId9"/>
    <Relationship TargetMode="External" Target="https://www.legis.iowa.gov/docs/ico/chapter/558A.4.pdf" Type="http://schemas.openxmlformats.org/officeDocument/2006/relationships/hyperlink" Id="rId10"/>
    <Relationship TargetMode="External" Target="https://www.legis.iowa.gov/docs/ico/chapter/558A.4.pdf" Type="http://schemas.openxmlformats.org/officeDocument/2006/relationships/hyperlink" Id="rId11"/>
    <Relationship TargetMode="External" Target="https://www.legis.iowa.gov/docs/ico/chapter/558A.3.pdf" Type="http://schemas.openxmlformats.org/officeDocument/2006/relationships/hyperlink" Id="rId12"/>
    <Relationship TargetMode="External" Target="https://www.legis.iowa.gov/docs/ico/chapter/558A.pdf" Type="http://schemas.openxmlformats.org/officeDocument/2006/relationships/hyperlink" Id="rId13"/>
    <Relationship TargetMode="External" Target="https://www.legis.iowa.gov/docs/ico/chapter/558A.pdf" Type="http://schemas.openxmlformats.org/officeDocument/2006/relationships/hyperlink" Id="rId14"/>
    <Relationship TargetMode="External" Target="https://www.legis.iowa.gov/docs/ico/chapter/558A.pdf" Type="http://schemas.openxmlformats.org/officeDocument/2006/relationships/hyperlink" Id="rId15"/>
    <Relationship TargetMode="External" Target="https://www.legis.iowa.gov/docs/ico/chapter/558A.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543B.pdf" Type="http://schemas.openxmlformats.org/officeDocument/2006/relationships/hyperlink" Id="rId19"/>
    <Relationship TargetMode="External" Target="https://www.legis.iowa.gov/docs/ico/chapter/558A.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