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BROKERAGE AGREEMENTS AND LISTINGS</w:t>
      </w:r>
    </w:p>
    <w:p>
      <w:pPr>
        <w:spacing w:before="0" w:after="0"/>
        <w:ind w:left="120"/>
        <w:jc w:val="center"/>
      </w:pPr>
      <w:r>
        <w:rPr>
          <w:rFonts w:ascii="Times New Roman" w:hAnsi="Times New Roman"/>
          <w:b w:val="false"/>
          <w:i w:val="false"/>
          <w:color w:val="000000"/>
          <w:sz w:val="14"/>
        </w:rPr>
        <w:t>[Prior to 9/4/02, see 193E—Ch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193E—11.1</w:t>
      </w:r>
      <w:r>
        <w:rPr>
          <w:rFonts w:ascii="Times New Roman" w:hAnsi="Times New Roman"/>
          <w:b/>
          <w:i w:val="false"/>
          <w:color w:val="000000"/>
          <w:sz w:val="22"/>
        </w:rPr>
        <w:t xml:space="preserve">(543B) </w:t>
      </w:r>
      <w:r>
        <w:rPr>
          <w:rFonts w:ascii="Times New Roman" w:hAnsi="Times New Roman"/>
          <w:b/>
          <w:i w:val="false"/>
          <w:color w:val="000000"/>
          <w:sz w:val="22"/>
        </w:rPr>
        <w:t xml:space="preserve">Listing brokerage agreements. </w:t>
      </w:r>
      <w:r>
        <w:rPr>
          <w:rFonts w:ascii="Times New Roman" w:hAnsi="Times New Roman"/>
          <w:b w:val="false"/>
          <w:i w:val="false"/>
          <w:color w:val="000000"/>
          <w:sz w:val="22"/>
        </w:rPr>
        <w:t>All listing agreements are in writing, properly identifying the property and containing all of the terms and conditions under which the property is to be sold, including the price, the commission to be paid, the signatures of all parties concerned and a definite expiration date. The agreement contains no provision requiring a party signing the listing to notify the broker of the listing party’s intention to cancel the listing after such definite expiration date. An exclusive agency or exclusive right to sell listing clearly indicates that it is such an agreement. A legible copy of every written listing agreement or other written authorization is given to the owner of the property by a licensee as soon as the signature of the owner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A licensee cannot solicit or enter into a listing or brokerage agreement with an owner if the licensee knows or has reason to know that the owner has a written unexpired exclusive agency or exclusive right to sell listing agreement to the property with another broker, unless the owner initiates the discussion and the licensee has not directly or indirectly solicited the listing or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However, if the owner initiates the discussion, the licensee may negotiate and enter into a listing or brokerage agreement that will take effect after the expiration of the current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owner initiates the discussion, the licensee may inform the owner that the owner needs to allow the current listing to expire or obtain a mutually acceptable cancellation from the listing broker before any further discussion can take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A real estate licensee cannot negotiate a sale, exchange, or lease of real property directly with an owner if it is known that the owner has a written unexpired contract in connection with the property which grants an exclusive right to sell to another broker, or which grants an exclusive agency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A listing agreement cannot be assigned, sold, or otherwise transferred to another broker without the express written consent of all parties to the original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val="false"/>
          <w:color w:val="000000"/>
          <w:sz w:val="22"/>
        </w:rPr>
        <w:t xml:space="preserve">Net listing barred. No licensee makes or enters into a net listing agreement for the sale of real property or any interest in real property. A net listing agreement is an agreement that specifies a net sale price to be received by the owner with the excess over that price to be received by the broker as commission. The taking of a net listing is unprofessional conduct and constitutes a violation of Iowa Code sections </w:t>
      </w:r>
      <w:hyperlink r:id="rId5">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193E—11.2</w:t>
      </w:r>
      <w:r>
        <w:rPr>
          <w:rFonts w:ascii="Times New Roman" w:hAnsi="Times New Roman"/>
          <w:b/>
          <w:i w:val="false"/>
          <w:color w:val="000000"/>
          <w:sz w:val="22"/>
        </w:rPr>
        <w:t xml:space="preserve">(543B) </w:t>
      </w:r>
      <w:r>
        <w:rPr>
          <w:rFonts w:ascii="Times New Roman" w:hAnsi="Times New Roman"/>
          <w:b/>
          <w:i w:val="false"/>
          <w:color w:val="000000"/>
          <w:sz w:val="22"/>
        </w:rPr>
        <w:t xml:space="preserve">Enforcing a protective clause. </w:t>
      </w:r>
      <w:r>
        <w:rPr>
          <w:rFonts w:ascii="Times New Roman" w:hAnsi="Times New Roman"/>
          <w:b w:val="false"/>
          <w:i w:val="false"/>
          <w:color w:val="000000"/>
          <w:sz w:val="22"/>
        </w:rPr>
        <w:t>To enforce a protective clause beyond the expiration of an exclusive listing contract, there is a provision for the protective clause in the listing contract which establishes a definite protection period. In writing and prior to the expiration of the listing, the broker furnishes to the listing party the names and available contact information of persons to whom the property was presented during the active term of the listing and for whom protection is sought. Delivery is by personal service with written acknowledgment of receipt, or by both regular mail and certified mail, return receipt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193E—11.3</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Brokerage agreements. </w:t>
      </w:r>
      <w:r>
        <w:rPr>
          <w:rFonts w:ascii="Times New Roman" w:hAnsi="Times New Roman"/>
          <w:b w:val="false"/>
          <w:i w:val="false"/>
          <w:color w:val="000000"/>
          <w:sz w:val="22"/>
        </w:rPr>
        <w:t>All brokerage agreements are written and cannot be assigned, sold, or otherwise transferred to another broker without the express written consent of all parties to the original agreement, unless the terms of the agreement state otherwise. Upon termination of association or employment with the principal broker, the affiliated broker associate or salesperson cannot take or use any written brokerage agreements secured during the association or employment. Said brokerage agreements remain the property of the principal broker and may be canceled only by the broker and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written brokerage agreement includes, at a minimum, the criteria set forth in Iowa Code section </w:t>
      </w:r>
      <w:hyperlink r:id="rId7">
        <w:r>
          <w:rPr>
            <w:rStyle w:val="Hyperlink"/>
            <w:rFonts w:ascii="Times New Roman" w:hAnsi="Times New Roman"/>
            <w:b w:val="false"/>
            <w:i w:val="false"/>
            <w:color w:val="000000"/>
            <w:sz w:val="22"/>
          </w:rPr>
          <w:t>543B.57</w:t>
        </w:r>
      </w:hyperlink>
      <w:r>
        <w:rPr>
          <w:rFonts w:ascii="Times New Roman" w:hAnsi="Times New Roman"/>
          <w:b w:val="false"/>
          <w:i w:val="false"/>
          <w:color w:val="000000"/>
          <w:sz w:val="22"/>
        </w:rPr>
        <w:t xml:space="preserve">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brokerage agreements contain a statement disclosing the brokerage policy on cooperating with and compensating other brokerages or the other parties’ agent in the sale, lease, rental, or purchase of real estate, including whether the brokerage intends to share the compensation with other brokerages and any other method for negotiating compensation for another party’s broker. Such disclosure serves to inform the client of any policy that would limit the participation of any other brokerage;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listing contracts and all brokerage agency contracts comply with Iowa real estate law and commission rules including, but not limited to, rules </w:t>
      </w:r>
      <w:hyperlink r:id="rId8">
        <w:r>
          <w:rPr>
            <w:rStyle w:val="Hyperlink"/>
            <w:rFonts w:ascii="Times New Roman" w:hAnsi="Times New Roman"/>
            <w:b w:val="false"/>
            <w:i w:val="false"/>
            <w:color w:val="000000"/>
            <w:sz w:val="22"/>
          </w:rPr>
          <w:t>193E—11.1</w:t>
        </w:r>
      </w:hyperlink>
      <w:r>
        <w:rPr>
          <w:rFonts w:ascii="Times New Roman" w:hAnsi="Times New Roman"/>
          <w:b w:val="false"/>
          <w:i w:val="false"/>
          <w:color w:val="000000"/>
          <w:sz w:val="22"/>
        </w:rPr>
        <w:t xml:space="preserve">(543B) and 193E—11.4(543B) and </w:t>
      </w:r>
      <w:hyperlink r:id="rId9">
        <w:r>
          <w:rPr>
            <w:rStyle w:val="Hyperlink"/>
            <w:rFonts w:ascii="Times New Roman" w:hAnsi="Times New Roman"/>
            <w:b w:val="false"/>
            <w:i w:val="false"/>
            <w:color w:val="000000"/>
            <w:sz w:val="22"/>
          </w:rPr>
          <w:t>193E—Chapter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No licensee makes or enters into a brokerage agreement that specifies a net sale, lease, rental, or exchange price to be received by an owner and the excess to be received by the licensee as a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taking of a net brokerage agreement is unprofessional conduct and a practice that is harmful or detrimental to the public and constitutes a violation of Iowa Code sections </w:t>
      </w:r>
      <w:hyperlink r:id="rId10">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Duration of relationship. The relationships commence at the time of the brokerage agreement and continue until closing of the transaction or performance or completion of the agreement by which the broker was engaged within the term of the agreement. If the transaction does not close, or the agreement for which the broker was engaged is not performed or completed for any reason, the relationship ends at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date of expiration agreed upon by the parties;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termination by written agreement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Obligation terminated. In addition to any continuing duty or obligation provided in the written agreement or pursuant to Iowa law and commission rules, a broker or brokerage engaged as a seller’s or landlord’s agent, buyer’s or tenant’s agent, subagent, or dual agent and affiliated licensees have the duty after termination, expiration, completion, or performance of the brokerage agreement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Account for all moneys and property related to and received during the engagement;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Keep confidential all information received during the course of the engagement which was made confidential by request or instructions from the engaging party or is otherwise confidential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val="false"/>
          <w:color w:val="000000"/>
          <w:sz w:val="22"/>
        </w:rPr>
        <w:t>Compensation. In any real estate transaction, the broker’s compensation may be paid by the seller, the buyer, the landlord, the tenant, a third party, or the sharing or splitting of a commission or compensation between brokers.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of compensation is not to be construed to determine or establish an agency relationship. The payment of compensation to a broker does not determine whether a brokerage relationship has been created between any broker and a seller, landlord, buyer, or tenant paying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permission of the client is needed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seller’s or landlord’s agent may share the commission or other compensation paid by such seller or landlord with another broker, with the written consent of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buyer’s or tenant’s agent may share the commission or other compensation paid by such buyer or tenant with another broker, with the written consent of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Without the written approval of the client, a seller’s or landlord’s agent cannot propose to the buyer’s or tenant’s agent that such seller’s or landlord’s agent may be compensated by sharing compensation paid by such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Without the written approval of the client, a buyer’s or tenant’s agent cannot propose to the seller’s or landlord’s agent that such buyer’s or tenant’s agent may be compensated by sharing compensation paid by such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broker may be compensated by more than one party for services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cannot accept, receive or charge an undisclosed commission for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cannot give or pay an undisclosed commission to any other licensee for a transaction, except payment for referrals to other licensees, including franchise affiliates, to provide real estate brokerage services, if there is no direct or beneficial ownership interest of more than 1 percent in the business entity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cannot pay any undisclosed rebate to any party to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cannot give any undisclosed credit against commission due from a client or licensee to any party to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licensee cannot accept, receive or charge any undisclosed payments for any services provided by any third party to any party to a transaction including, but not limited to, payments for procuring insurance or for conducting a property inspection related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provisions of these rules do not apply to a gratuitous gift, such as flowers or a door knocker, to a buyer or tenant subsequent to closing and not promised or offered as an inducement to buy or lease, as long as any client relationship has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provisions of these rules do not apply to a free gift, such as prizes, money, or other valuable consideration, to a potential party to a transaction or lease prior to the parties’ signing a contract to purchase or lease and not promised or offered as an inducement to sell, buy, or lease, as long as no client relationship has been established with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seller or landlord may authorize a portion of the proceeds of the sale of real property or other negotiated term of an agreement or contract to pay compensation to other brokers who are part of the same real estate transaction as the seller or landlord, including a buyer’s or tenant’s broker solely representing the buyer or tenant. The payment of compensation may be a direct payment from the seller or landlord to the other brokers who are part of the same real estate transaction as the seller or landlord, including a buyer’s or tenant’s broker solely representing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w:t>
      </w:r>
      <w:r>
        <w:rPr>
          <w:rFonts w:ascii="Times New Roman" w:hAnsi="Times New Roman"/>
          <w:b w:val="false"/>
          <w:i w:val="false"/>
          <w:color w:val="000000"/>
          <w:sz w:val="22"/>
        </w:rPr>
        <w:t> </w:t>
      </w:r>
      <w:r>
        <w:rPr>
          <w:rFonts w:ascii="Times New Roman" w:hAnsi="Times New Roman"/>
          <w:b w:val="false"/>
          <w:i w:val="false"/>
          <w:color w:val="000000"/>
          <w:sz w:val="22"/>
        </w:rPr>
        <w:t>Solicitation of brokerage agreements. A licensee cannot advise, counsel, or solicit a brokerage agreement from a seller or buyer, or landlord or tenant, if the licensee knows, or acting in a reasonable manner should have known, that the seller or buyer, or landlord or tenant, has contracted with another broker for the same brokerage services on an exclusive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does not preclude a broker from entering into a brokerage agreement with a seller or buyer, or landlord or tenant, when the initial contact is initiated by the seller or buyer, or landlord or tenant, and the licensee has not directly or indirectly solicited the discussion, provided the brokerage agreement does not become effective until the expiration or release of the current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brokerage agreement cannot be assigned, sold, or otherwise transferred to another broker without the express written consent of all parties to the original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w:t>
      </w:r>
      <w:r>
        <w:rPr>
          <w:rFonts w:ascii="Times New Roman" w:hAnsi="Times New Roman"/>
          <w:b w:val="false"/>
          <w:i w:val="false"/>
          <w:color w:val="000000"/>
          <w:sz w:val="22"/>
        </w:rPr>
        <w:t> </w:t>
      </w:r>
      <w:r>
        <w:rPr>
          <w:rFonts w:ascii="Times New Roman" w:hAnsi="Times New Roman"/>
          <w:b w:val="false"/>
          <w:i w:val="false"/>
          <w:color w:val="000000"/>
          <w:sz w:val="22"/>
        </w:rPr>
        <w:t>Any commission or fee in any brokerage agreement is fully negotiable among the parties to that brokerage agreement. Once the parties to a brokerage agreement have agreed to a commission or fee, no licensee other than a party to that brokerage agreement attempts to alter, modify, or change or induce another person to alter, modify, or change a commission or fee that has previously been agreed upon without the prior written consent of the parties to that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11.3(9)</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seller or landlord may, in the brokerage agreement, authorize the seller’s or landlord’s broker to disburse part of the broker’s compensation to other brokers, including a buyer’s or tenant’s broker solely representing the buyer or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contained in this rule shall obligate any buyer or tenant or seller or landlord to pay compensation to a licensee representing the buyer or tenant or seller or landlord in a real estate transaction unless the buyer or tenant or seller or landlord has entered into a written brokerage agreement with the broker specifying the compensation terms and conditions, in accordance with Iowa real estate license law and commission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193E—11.4</w:t>
      </w:r>
      <w:r>
        <w:rPr>
          <w:rFonts w:ascii="Times New Roman" w:hAnsi="Times New Roman"/>
          <w:b/>
          <w:i w:val="false"/>
          <w:color w:val="000000"/>
          <w:sz w:val="22"/>
        </w:rPr>
        <w:t xml:space="preserve">(543B) </w:t>
      </w:r>
      <w:r>
        <w:rPr>
          <w:rFonts w:ascii="Times New Roman" w:hAnsi="Times New Roman"/>
          <w:b/>
          <w:i w:val="false"/>
          <w:color w:val="000000"/>
          <w:sz w:val="22"/>
        </w:rPr>
        <w:t xml:space="preserve">Terms or conditions. </w:t>
      </w:r>
      <w:r>
        <w:rPr>
          <w:rFonts w:ascii="Times New Roman" w:hAnsi="Times New Roman"/>
          <w:b w:val="false"/>
          <w:i w:val="false"/>
          <w:color w:val="000000"/>
          <w:sz w:val="22"/>
        </w:rPr>
        <w:t xml:space="preserve">A licensee cannot write, prepare or otherwise use a contract containing terms or conditions that would violate real estate laws in Iowa Code chapter </w:t>
      </w:r>
      <w:hyperlink r:id="rId1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commission rules.</w:t>
      </w:r>
    </w:p>
    <w:p>
      <w:pPr>
        <w:spacing w:before="0" w:after="0"/>
        <w:ind w:left="120"/>
        <w:jc w:val="both"/>
      </w:pPr>
      <w:r>
        <w:rPr>
          <w:rFonts w:ascii="Times New Roman" w:hAnsi="Times New Roman"/>
          <w:b w:val="false"/>
          <w:i w:val="false"/>
          <w:color w:val="000000"/>
          <w:sz w:val="22"/>
        </w:rPr>
        <w:t>The broker is responsible to ensure that all preprinted documents and forms used are in compliance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193E—11.5</w:t>
      </w:r>
      <w:r>
        <w:rPr>
          <w:rFonts w:ascii="Times New Roman" w:hAnsi="Times New Roman"/>
          <w:b/>
          <w:i w:val="false"/>
          <w:color w:val="000000"/>
          <w:sz w:val="22"/>
        </w:rPr>
        <w:t xml:space="preserve">(543B) </w:t>
      </w:r>
      <w:r>
        <w:rPr>
          <w:rFonts w:ascii="Times New Roman" w:hAnsi="Times New Roman"/>
          <w:b/>
          <w:i w:val="false"/>
          <w:color w:val="000000"/>
          <w:sz w:val="22"/>
        </w:rPr>
        <w:t xml:space="preserve">Distribution of executed instruments. </w:t>
      </w:r>
      <w:r>
        <w:rPr>
          <w:rFonts w:ascii="Times New Roman" w:hAnsi="Times New Roman"/>
          <w:b w:val="false"/>
          <w:i w:val="false"/>
          <w:color w:val="000000"/>
          <w:sz w:val="22"/>
        </w:rPr>
        <w:t>Upon execution of any instrument in connection with a real estate transaction, a licensee, as soon as practicable, delivers a legible copy of the original instrument to each of the parties thereto. It is the responsibility of the licensee to prepare sufficient copies of such instruments to satisfy this criteria. The broker retains copies for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193E—11.6</w:t>
      </w:r>
      <w:r>
        <w:rPr>
          <w:rFonts w:ascii="Times New Roman" w:hAnsi="Times New Roman"/>
          <w:b/>
          <w:i w:val="false"/>
          <w:color w:val="000000"/>
          <w:sz w:val="22"/>
        </w:rPr>
        <w:t xml:space="preserve">(543B) </w:t>
      </w:r>
      <w:r>
        <w:rPr>
          <w:rFonts w:ascii="Times New Roman" w:hAnsi="Times New Roman"/>
          <w:b/>
          <w:i w:val="false"/>
          <w:color w:val="000000"/>
          <w:sz w:val="22"/>
        </w:rPr>
        <w:t xml:space="preserve">Rebates and inducements.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A licensee cannot pay a commission, any part of a commission, or valuable consideration to an unlicensed third party for performing brokerage functions or engaging in any activity that needs a real estate license. Referral fees or finder’s fees paid to unlicensed third parties for performing brokerage activities, or engaging in any activity that needs a real estate license, are barred.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In a brokerage agreement, the broker is principal party to the contract. The broker may, with proper disclosure, pay a portion of the commission earned to an unlicensed seller, landlord, buyer, or tenant that is a principal party to the brokerage agreement. This will be deemed a reduction in the amount of the earned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a gratuitous gift, such as flowers or a door knocker, to the buyer or tenant subsequent to closing and not promised or offered as an inducement to buy or lease. The permission and disclosure criteria of rule </w:t>
      </w:r>
      <w:hyperlink r:id="rId13">
        <w:r>
          <w:rPr>
            <w:rStyle w:val="Hyperlink"/>
            <w:rFonts w:ascii="Times New Roman" w:hAnsi="Times New Roman"/>
            <w:b w:val="false"/>
            <w:i w:val="false"/>
            <w:color w:val="000000"/>
            <w:sz w:val="22"/>
          </w:rPr>
          <w:t>193E—11.3</w:t>
        </w:r>
      </w:hyperlink>
      <w:r>
        <w:rPr>
          <w:rFonts w:ascii="Times New Roman" w:hAnsi="Times New Roman"/>
          <w:b w:val="false"/>
          <w:i w:val="false"/>
          <w:color w:val="000000"/>
          <w:sz w:val="22"/>
        </w:rPr>
        <w:t>(543B) do not apply as long as any client relationship has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free gifts, such as prizes, money, or other valuable consideration, to a potential party to a transaction or lease, prior to that party’s signing a contract to purchase or lease and not promised or offered as an inducement to buy or lease. It is the licensee’s responsibility to ensure that the promotion is in compliance with other Iowa laws, such as gaming regulations. The permission and disclosure criteria of rule </w:t>
      </w:r>
      <w:hyperlink r:id="rId14">
        <w:r>
          <w:rPr>
            <w:rStyle w:val="Hyperlink"/>
            <w:rFonts w:ascii="Times New Roman" w:hAnsi="Times New Roman"/>
            <w:b w:val="false"/>
            <w:i w:val="false"/>
            <w:color w:val="000000"/>
            <w:sz w:val="22"/>
          </w:rPr>
          <w:t>193E—11.3</w:t>
        </w:r>
      </w:hyperlink>
      <w:r>
        <w:rPr>
          <w:rFonts w:ascii="Times New Roman" w:hAnsi="Times New Roman"/>
          <w:b w:val="false"/>
          <w:i w:val="false"/>
          <w:color w:val="000000"/>
          <w:sz w:val="22"/>
        </w:rPr>
        <w:t>(543B) do not apply as long as no client relationship has been established with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The offering by a licensee of a free gift, prize, money, or other valuable consideration as an inducement is free from deception and does not serve to distort the true value of the real estate service being promoted.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A licensee may make donations to a charity, or other not-for-profit organization, for each listing or closing, or both, that the licensee has during a specific time period. The receiving entity may be selected by the licensee or by a party to the transaction. The contribution may be in the name of the licensee or in the name of a party to the transaction. Contributions are permissible only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no limitations placed on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donation is for a specific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receiving entity does not act or participate in any manner that would need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exercises reasonable care to ensure that the organization or fund is a bona fide nonprofit;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exercises reasonable care to ensure that the promotional materials clearly explain the terms under which the donation will be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necessary disclosures are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193E—11.7</w:t>
      </w:r>
      <w:r>
        <w:rPr>
          <w:rFonts w:ascii="Times New Roman" w:hAnsi="Times New Roman"/>
          <w:b/>
          <w:i w:val="false"/>
          <w:color w:val="000000"/>
          <w:sz w:val="22"/>
        </w:rPr>
        <w:t xml:space="preserve">(543B) </w:t>
      </w:r>
      <w:r>
        <w:rPr>
          <w:rFonts w:ascii="Times New Roman" w:hAnsi="Times New Roman"/>
          <w:b/>
          <w:i w:val="false"/>
          <w:color w:val="000000"/>
          <w:sz w:val="22"/>
        </w:rPr>
        <w:t xml:space="preserve">New construction. </w:t>
      </w:r>
      <w:r>
        <w:rPr>
          <w:rFonts w:ascii="Times New Roman" w:hAnsi="Times New Roman"/>
          <w:b w:val="false"/>
          <w:i w:val="false"/>
          <w:color w:val="000000"/>
          <w:sz w:val="22"/>
        </w:rPr>
        <w:t xml:space="preserve">A contract with a builder to construct or attach personal property or other type of structure to land and thereby produce an improvement to real estate is a real estate transaction. A licensee makes written disclosure revealing that the licensee and the licensee’s broker or brokerage firm will receive a commission, compensation, or valuable consideration for its efforts in the transaction, as obligated by paragraph </w:t>
      </w:r>
      <w:hyperlink r:id="rId15">
        <w:r>
          <w:rPr>
            <w:rStyle w:val="Hyperlink"/>
            <w:rFonts w:ascii="Times New Roman" w:hAnsi="Times New Roman"/>
            <w:b w:val="false"/>
            <w:i w:val="false"/>
            <w:color w:val="000000"/>
            <w:sz w:val="22"/>
          </w:rPr>
          <w:t>11.3(6)</w:t>
        </w:r>
        <w:r>
          <w:rPr>
            <w:rFonts w:ascii="Times New Roman" w:hAnsi="Times New Roman"/>
            <w:b w:val="false"/>
            <w:i/>
            <w:color w:val="000000"/>
            <w:sz w:val="22"/>
          </w:rPr>
          <w:t>“d.”</w:t>
        </w:r>
      </w:hyperlink>
      <w:r>
        <w:rPr>
          <w:rFonts w:ascii="Times New Roman" w:hAnsi="Times New Roman"/>
          <w:b w:val="false"/>
          <w:i w:val="false"/>
          <w:color w:val="000000"/>
          <w:sz w:val="22"/>
        </w:rPr>
        <w:t xml:space="preserve"> Written disclosure is necessary regardless of the type of representation provided by the licensee or if the licensee provides no representation.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9505B</w:t>
      </w:r>
      <w:r>
        <w:rPr>
          <w:rFonts w:ascii="Times New Roman" w:hAnsi="Times New Roman"/>
          <w:b w:val="false"/>
          <w:i w:val="false"/>
          <w:color w:val="000000"/>
          <w:sz w:val="21"/>
        </w:rPr>
        <w:t xml:space="preserve"> (Notice ARC 9389B,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9929B</w:t>
      </w:r>
      <w:r>
        <w:rPr>
          <w:rFonts w:ascii="Times New Roman" w:hAnsi="Times New Roman"/>
          <w:b w:val="false"/>
          <w:i w:val="false"/>
          <w:color w:val="000000"/>
          <w:sz w:val="21"/>
        </w:rPr>
        <w:t xml:space="preserve"> (Notice ARC 9753B, IAB 9/21/11)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7773C</w:t>
      </w:r>
      <w:r>
        <w:rPr>
          <w:rFonts w:ascii="Times New Roman" w:hAnsi="Times New Roman"/>
          <w:b w:val="false"/>
          <w:i w:val="false"/>
          <w:color w:val="000000"/>
          <w:sz w:val="21"/>
        </w:rPr>
        <w:t xml:space="preserve"> (Notice ARC 7452C,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29.pdf" Type="http://schemas.openxmlformats.org/officeDocument/2006/relationships/hyperlink" Id="rId5"/>
    <Relationship TargetMode="External" Target="https://www.legis.iowa.gov/docs/ico/chapter/543B.34.pdf" Type="http://schemas.openxmlformats.org/officeDocument/2006/relationships/hyperlink" Id="rId6"/>
    <Relationship TargetMode="External" Target="https://www.legis.iowa.gov/docs/ico/chapter/543B.57.pdf" Type="http://schemas.openxmlformats.org/officeDocument/2006/relationships/hyperlink" Id="rId7"/>
    <Relationship TargetMode="External" Target="https://www.legis.iowa.gov/docs/iac/rule/193E.11.1.pdf" Type="http://schemas.openxmlformats.org/officeDocument/2006/relationships/hyperlink" Id="rId8"/>
    <Relationship TargetMode="External" Target="https://www.legis.iowa.gov/docs/iac/chapter/193E.15.pdf" Type="http://schemas.openxmlformats.org/officeDocument/2006/relationships/hyperlink" Id="rId9"/>
    <Relationship TargetMode="External" Target="https://www.legis.iowa.gov/docs/ico/chapter/543B.29.pdf" Type="http://schemas.openxmlformats.org/officeDocument/2006/relationships/hyperlink" Id="rId10"/>
    <Relationship TargetMode="External" Target="https://www.legis.iowa.gov/docs/ico/chapter/543B.34.pdf" Type="http://schemas.openxmlformats.org/officeDocument/2006/relationships/hyperlink" Id="rId11"/>
    <Relationship TargetMode="External" Target="https://www.legis.iowa.gov/docs/ico/chapter/543B.pdf" Type="http://schemas.openxmlformats.org/officeDocument/2006/relationships/hyperlink" Id="rId12"/>
    <Relationship TargetMode="External" Target="https://www.legis.iowa.gov/docs/iac/rule/193E.11.3.pdf" Type="http://schemas.openxmlformats.org/officeDocument/2006/relationships/hyperlink" Id="rId13"/>
    <Relationship TargetMode="External" Target="https://www.legis.iowa.gov/docs/iac/rule/193E.11.3.pdf" Type="http://schemas.openxmlformats.org/officeDocument/2006/relationships/hyperlink" Id="rId14"/>
    <Relationship TargetMode="External" Target="https://www.legis.iowa.gov/docs/iac/rule/193E.11.3.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co/chapter/543B.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