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CONTINUING EDUCATION</w:t>
      </w:r>
    </w:p>
    <w:p>
      <w:pPr>
        <w:spacing w:before="0" w:after="0"/>
        <w:ind w:left="120"/>
        <w:jc w:val="center"/>
      </w:pPr>
      <w:r>
        <w:rPr>
          <w:rFonts w:ascii="Times New Roman" w:hAnsi="Times New Roman"/>
          <w:b w:val="false"/>
          <w:i w:val="false"/>
          <w:color w:val="000000"/>
          <w:sz w:val="14"/>
        </w:rPr>
        <w:t>[Prior to 3/9/88, see Landscape Architectural Examiners Board[540]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193D—3.1</w:t>
      </w:r>
      <w:r>
        <w:rPr>
          <w:rFonts w:ascii="Times New Roman" w:hAnsi="Times New Roman"/>
          <w:b/>
          <w:i w:val="false"/>
          <w:color w:val="000000"/>
          <w:sz w:val="22"/>
        </w:rPr>
        <w:t xml:space="preserve">(544B,17A)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“Distance learning” </w:t>
      </w:r>
      <w:r>
        <w:rPr>
          <w:rFonts w:ascii="Times New Roman" w:hAnsi="Times New Roman"/>
          <w:b w:val="false"/>
          <w:i w:val="false"/>
          <w:color w:val="000000"/>
          <w:sz w:val="22"/>
        </w:rPr>
        <w:t>means any education process based on the geographical separation of student and instructor. “Distance learning” includes computer-generated programs, webinars, and home-study/correspondence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safety, and welfare subjects” </w:t>
      </w:r>
      <w:r>
        <w:rPr>
          <w:rFonts w:ascii="Times New Roman" w:hAnsi="Times New Roman"/>
          <w:b w:val="false"/>
          <w:i w:val="false"/>
          <w:color w:val="000000"/>
          <w:sz w:val="22"/>
        </w:rPr>
        <w:t>means technical and professional subjects that the board deems appropriate to safeguard directly the public’s health, safety, and welfare. Such subjects include design, environmental systems, site design, land use analyses, landscape architecture programming, grading and drainage, storm water management, erosion control, site and soil analyses, accessibility, building codes, review of state registration laws including the rules of professional conduct, evaluation and selection of products and materials, cost analysis, construction methods, contract documentation, construction contract administration, construction administration, construction-phase office procedures, project management, and the like.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“Hours of continuing education” </w:t>
      </w:r>
      <w:r>
        <w:rPr>
          <w:rFonts w:ascii="Times New Roman" w:hAnsi="Times New Roman"/>
          <w:b w:val="false"/>
          <w:i w:val="false"/>
          <w:color w:val="000000"/>
          <w:sz w:val="22"/>
        </w:rPr>
        <w:t xml:space="preserve">means a contact hour spent in either structured educational activities or individually planned activities intended to increase the professional landscape architect’s knowledge and competence in public protection subjects and related practice subjects. “Contact hour” is defined as the typical 50-minute classroom instructional session or its equivalent.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“Structured educational activities” </w:t>
      </w:r>
      <w:r>
        <w:rPr>
          <w:rFonts w:ascii="Times New Roman" w:hAnsi="Times New Roman"/>
          <w:b w:val="false"/>
          <w:i w:val="false"/>
          <w:color w:val="000000"/>
          <w:sz w:val="22"/>
        </w:rPr>
        <w:t>means educational activities in which the teaching methodology consists primarily of systematic presentation of public protection subjects or related practice subjects by qualified individuals or organizations including monographs, courses of study taught in person or by correspondence, organized lectures, presentations or workshops, and other means through which identifiable technical and professional subjects are presented in a planned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3794C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193D—3.2</w:t>
      </w:r>
      <w:r>
        <w:rPr>
          <w:rFonts w:ascii="Times New Roman" w:hAnsi="Times New Roman"/>
          <w:b/>
          <w:i w:val="false"/>
          <w:color w:val="000000"/>
          <w:sz w:val="22"/>
        </w:rPr>
        <w:t xml:space="preserve">(544B,17A) </w:t>
      </w:r>
      <w:r>
        <w:rPr>
          <w:rFonts w:ascii="Times New Roman" w:hAnsi="Times New Roman"/>
          <w:b/>
          <w:i w:val="false"/>
          <w:color w:val="000000"/>
          <w:sz w:val="22"/>
        </w:rPr>
        <w:t xml:space="preserve">Continuing education requirements. </w:t>
      </w:r>
      <w:r>
        <w:rPr>
          <w:rFonts w:ascii="Times New Roman" w:hAnsi="Times New Roman"/>
          <w:b w:val="false"/>
          <w:i w:val="false"/>
          <w:color w:val="000000"/>
          <w:sz w:val="22"/>
        </w:rPr>
        <w:t>In order for professional landscape architects to provide competent, professional services to the public, continuing education shall consist of learning experiences that enhance, expand and keep current the skills, knowledge, and abilities of practicing professionals. Professional landscape architects may pursue learning experiences in technical, nontechnical, regulatory, ethics and business practice areas, provided that the continuing education directly benefits the health,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w:t>
      </w:r>
      <w:r>
        <w:rPr>
          <w:rFonts w:ascii="Times New Roman" w:hAnsi="Times New Roman"/>
          <w:b w:val="false"/>
          <w:i w:val="false"/>
          <w:color w:val="000000"/>
          <w:sz w:val="22"/>
        </w:rPr>
        <w:t> </w:t>
      </w:r>
      <w:r>
        <w:rPr>
          <w:rFonts w:ascii="Times New Roman" w:hAnsi="Times New Roman"/>
          <w:b w:val="false"/>
          <w:i w:val="false"/>
          <w:color w:val="000000"/>
          <w:sz w:val="22"/>
        </w:rPr>
        <w:t>Hours required. Each registrant shall complete during each two-year licensing term a minimum of 24 hours of continuing education approved by the board. Compliance with the continuing education requirements is a prerequisite for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w:t>
      </w:r>
      <w:r>
        <w:rPr>
          <w:rFonts w:ascii="Times New Roman" w:hAnsi="Times New Roman"/>
          <w:b w:val="false"/>
          <w:i w:val="false"/>
          <w:color w:val="000000"/>
          <w:sz w:val="22"/>
        </w:rPr>
        <w:t> </w:t>
      </w:r>
      <w:r>
        <w:rPr>
          <w:rFonts w:ascii="Times New Roman" w:hAnsi="Times New Roman"/>
          <w:b w:val="false"/>
          <w:i w:val="false"/>
          <w:color w:val="000000"/>
          <w:sz w:val="22"/>
        </w:rPr>
        <w:t>Within any biennial renewal period, 24 hours of continuing education must be acquired and shall be in health, safety, and welfare subjects acquired in structured educational activities. Hours acquired in any 24-month renewal period may not be carried over to a subsequent 24-month renewal period. Continuing education hours may be acquired in any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who holds a license in Iowa for less than 12 months from the date of initial licensure shall not be required to report continuing education at the first license renewal. A professional landscape architect who holds a license in Iowa for more than 12 months, but less than 24 months from the date of initial licensure, shall be required to report 12 hours of continuing education in health, safety, and welfare subjects earned in the preceding 12 months at the first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w:t>
      </w:r>
      <w:r>
        <w:rPr>
          <w:rFonts w:ascii="Times New Roman" w:hAnsi="Times New Roman"/>
          <w:b w:val="false"/>
          <w:i w:val="false"/>
          <w:color w:val="000000"/>
          <w:sz w:val="22"/>
        </w:rPr>
        <w:t> </w:t>
      </w:r>
      <w:r>
        <w:rPr>
          <w:rFonts w:ascii="Times New Roman" w:hAnsi="Times New Roman"/>
          <w:b w:val="false"/>
          <w:i w:val="false"/>
          <w:color w:val="000000"/>
          <w:sz w:val="22"/>
        </w:rPr>
        <w:t>Sources of continuing education. The following suggested list may be used by all licensees to determine the types of activities which may fulfill the continuing education requirements. All hours of continuing education must also comply with the directive in subrule 3.2(2).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in attendance at short courses or seminars dealing with landscape architectural subjects and sponsored by colleges, universities or professional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in attendance at presentations on landscape architectural subjects, which are held in conjunction with conventions or at seminars related to materials use and function. Presentations such as those presented by CLARB, American Society of Landscape Architects, Construction Specification Institute, Construction Products Manufacturers Council or similar organizations devoted to landscape architecture education may qualify.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in attendance at short courses or seminars relating to business practice or new technology and offered by colleges, universities, professional organizations or system suppliers.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spent presenting or teaching courses or seminars in landscape architecture. Three preparation hours may be claimed for each class hour spent teaching landscape architectural courses or seminars. College or university faculty members may not claim credit for teaching regular curriculum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spent learning through professional service to the public which draws upon the licensee’s professional expertise on boards and commissions, such as serving on planning commissions, building code advisory boards, urban renewal boards, code study commissions or community boards. Hours of continuing education under this paragraph shall be limited to 6 hours earned in any biennial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spent in landscape architectural research which is published or formally presented to the profession or public. Credit may be claimed only following proof of publication or presentation. Hours of continuing education under this paragraph shall be limited to 12 hours earned in any biennial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Hours of continuing education spent in distance learning that concludes with an examination or other verification of course completion.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College or university courses dealing with landscape architectural subjects or business practice. Each semester hour shall equal 15 hours of continuing education. A quarter hour shall equal 10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spent in educational tours or tours in areas significant to landscape architecture when the tour is sponsored by college, university or professional organizations and verification of participation is provided by the tour sponsor. Self-guided tours do not qualify. Hours of continuing education under this paragraph shall be limited to 6 hours earned in any biennial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spent attending in-house educational programs, including dinner, luncheon, and breakfast meetings.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w:t>
      </w:r>
      <w:r>
        <w:rPr>
          <w:rFonts w:ascii="Times New Roman" w:hAnsi="Times New Roman"/>
          <w:b w:val="false"/>
          <w:i w:val="false"/>
          <w:color w:val="000000"/>
          <w:sz w:val="22"/>
        </w:rPr>
        <w:t> </w:t>
      </w:r>
      <w:r>
        <w:rPr>
          <w:rFonts w:ascii="Times New Roman" w:hAnsi="Times New Roman"/>
          <w:b w:val="false"/>
          <w:i w:val="false"/>
          <w:color w:val="000000"/>
          <w:sz w:val="22"/>
        </w:rPr>
        <w:t>Financing. It is the responsibility of each licensee to finance the costs for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9749B</w:t>
      </w:r>
      <w:r>
        <w:rPr>
          <w:rFonts w:ascii="Times New Roman" w:hAnsi="Times New Roman"/>
          <w:b w:val="false"/>
          <w:i w:val="false"/>
          <w:color w:val="000000"/>
          <w:sz w:val="16"/>
        </w:rPr>
        <w:t>, IAB 9/21/11, effective 10/26/11</w:t>
      </w:r>
      <w:r>
        <w:rPr>
          <w:rFonts w:ascii="Times New Roman" w:hAnsi="Times New Roman"/>
          <w:b w:val="false"/>
          <w:i w:val="false"/>
          <w:color w:val="000000"/>
          <w:sz w:val="16"/>
        </w:rPr>
        <w:t xml:space="preserve">; </w:t>
      </w:r>
      <w:r>
        <w:rPr>
          <w:rFonts w:ascii="Times New Roman" w:hAnsi="Times New Roman"/>
          <w:b/>
          <w:i w:val="false"/>
          <w:color w:val="000000"/>
          <w:sz w:val="16"/>
        </w:rPr>
        <w:t>ARC 3794C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193D—3.3</w:t>
      </w:r>
      <w:r>
        <w:rPr>
          <w:rFonts w:ascii="Times New Roman" w:hAnsi="Times New Roman"/>
          <w:b/>
          <w:i w:val="false"/>
          <w:color w:val="000000"/>
          <w:sz w:val="22"/>
        </w:rPr>
        <w:t xml:space="preserve">(544B,17A) </w:t>
      </w:r>
      <w:r>
        <w:rPr>
          <w:rFonts w:ascii="Times New Roman" w:hAnsi="Times New Roman"/>
          <w:b/>
          <w:i w:val="false"/>
          <w:color w:val="000000"/>
          <w:sz w:val="22"/>
        </w:rPr>
        <w:t xml:space="preserve">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val="false"/>
          <w:color w:val="000000"/>
          <w:sz w:val="22"/>
        </w:rPr>
        <w:t>Each professional landscape architect shall file with the board a signed report, under penalty of perjury, on forms provided by the board or by online renewal, setting forth the continuing education activities in which the professional landscape architect has participated. The report shall be filed with the renewal application for each two-year renewal period in which the claimed hours of continuing education were completed. The information in the report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School, firm or organization conducting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Location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Title of the course and description of the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Principal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Dates attended.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Hours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instances of service on a professional or community board, or other undocumented hours of continuing education (non-HSW documentation such as LU, PDH), the licensee shall provide a narrative description of the materials the licensee reviewed, the nature of the licensee’s service, and a description as to how the licensee’s claimed hours of continuing education have contributed to the health, safety and welfare of the public.</w:t>
      </w:r>
    </w:p>
    <w:p>
      <w:pPr>
        <w:spacing w:before="0" w:after="0"/>
        <w:ind w:left="120"/>
        <w:jc w:val="both"/>
      </w:pPr>
      <w:r>
        <w:rPr>
          <w:rFonts w:ascii="Times New Roman" w:hAnsi="Times New Roman"/>
          <w:b w:val="false"/>
          <w:i w:val="false"/>
          <w:color w:val="000000"/>
          <w:sz w:val="22"/>
        </w:rPr>
        <w:t>This information shall be kept by the licensee for reported hours of continuing education for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architect’s continuing education report forms or online renewal may be selected for review by the board for verification of compliance with these requirements. Evidence of compliance shall be maintained by the professional landscape architect for two years after the period for which the form was submitted and shall include written verification of attendance by someone other than the licensee. Examples of evidence may include, but are not limited to, a certificate of completion presented by the program sponsor, a letter from an employer verifying attendance at an in-firm training session, or copies of minutes from public service meetings. Canceled checks, slideshow presentations, email confirmation or receipts for payments of fees to attend a program are not evidence of actual attendance and are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val="false"/>
          <w:color w:val="000000"/>
          <w:sz w:val="22"/>
        </w:rPr>
        <w:t>Any discrepancy between the number of continuing education hours reported and the number of continuing education hours actually supported by documentation may result in a disciplinary review. If, after the disciplinary review, the board disallows any continuing education hours, or the licensee has failed to complete the required continuing education hours, the landscape architect shall have 60 days from board notice to either provide further evidence of having completed the continuing education hours disallowed or remedy the discrepancy by completing the required number of continuing education hours (provided that such continuing education hours shall not again be used for the next renewal). Extension of time may be granted on an individual basis and must be requested by the licensee within 30 days of notification by the board. If the licensee fails to comply with the requirements of this subrule, the licensee may be subject to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3794C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 xml:space="preserve">; </w:t>
      </w:r>
      <w:r>
        <w:rPr>
          <w:rFonts w:ascii="Times New Roman" w:hAnsi="Times New Roman"/>
          <w:b/>
          <w:i w:val="false"/>
          <w:color w:val="000000"/>
          <w:sz w:val="16"/>
        </w:rPr>
        <w:t>ARC 5571C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193D—3.4</w:t>
      </w:r>
      <w:r>
        <w:rPr>
          <w:rFonts w:ascii="Times New Roman" w:hAnsi="Times New Roman"/>
          <w:b/>
          <w:i w:val="false"/>
          <w:color w:val="000000"/>
          <w:sz w:val="22"/>
        </w:rPr>
        <w:t xml:space="preserve">(544B,17A) </w:t>
      </w:r>
      <w:r>
        <w:rPr>
          <w:rFonts w:ascii="Times New Roman" w:hAnsi="Times New Roman"/>
          <w:b/>
          <w:i w:val="false"/>
          <w:color w:val="000000"/>
          <w:sz w:val="22"/>
        </w:rPr>
        <w:t xml:space="preserve">Hearings. </w:t>
      </w:r>
      <w:r>
        <w:rPr>
          <w:rFonts w:ascii="Times New Roman" w:hAnsi="Times New Roman"/>
          <w:b w:val="false"/>
          <w:i w:val="false"/>
          <w:color w:val="000000"/>
          <w:sz w:val="22"/>
        </w:rPr>
        <w:t>In the event of denial, in whole or in part, of any application for approval of credit for continuing education activity, the licensee shall have the right, within 20 days after the date of notification of the denial by mail, to request a hearing by the board. The hearing shall be held within 60 days after receipt of the request for the hearing. The decision of the board shall be final.</w:t>
      </w:r>
    </w:p>
    <w:p>
      <w:pPr>
        <w:spacing w:before="210" w:after="0"/>
        <w:ind w:left="120"/>
        <w:jc w:val="both"/>
      </w:pPr>
      <w:r>
        <w:rPr>
          <w:rFonts w:ascii="Times New Roman" w:hAnsi="Times New Roman"/>
          <w:b/>
          <w:i w:val="false"/>
          <w:color w:val="000000"/>
          <w:sz w:val="22"/>
        </w:rPr>
        <w:t>193D—3.5</w:t>
      </w:r>
      <w:r>
        <w:rPr>
          <w:rFonts w:ascii="Times New Roman" w:hAnsi="Times New Roman"/>
          <w:b/>
          <w:i w:val="false"/>
          <w:color w:val="000000"/>
          <w:sz w:val="22"/>
        </w:rPr>
        <w:t xml:space="preserve">(544B,17A) </w:t>
      </w:r>
      <w:r>
        <w:rPr>
          <w:rFonts w:ascii="Times New Roman" w:hAnsi="Times New Roman"/>
          <w:b/>
          <w:i w:val="false"/>
          <w:color w:val="000000"/>
          <w:sz w:val="22"/>
        </w:rPr>
        <w:t xml:space="preserve">Physical disability, illness, hardship, or extenuating circumstances. </w:t>
      </w:r>
      <w:r>
        <w:rPr>
          <w:rFonts w:ascii="Times New Roman" w:hAnsi="Times New Roman"/>
          <w:b w:val="false"/>
          <w:i w:val="false"/>
          <w:color w:val="000000"/>
          <w:sz w:val="22"/>
        </w:rPr>
        <w:t>The board may, in individual cases involving physical disability, illness (certified by a medical doctor), hardship, or extenuating circumstances, grant waivers of the continuing education requirements for a period of time not to exceed one year. No waiver or extension of time shall be granted unless the licensee makes a written request to the board for such action.</w:t>
      </w:r>
    </w:p>
    <w:p>
      <w:pPr>
        <w:spacing w:before="0" w:after="0"/>
        <w:ind w:left="120"/>
        <w:jc w:val="both"/>
      </w:pPr>
      <w:r>
        <w:rPr>
          <w:rFonts w:ascii="Times New Roman" w:hAnsi="Times New Roman"/>
          <w:b/>
          <w:i w:val="false"/>
          <w:color w:val="000000"/>
          <w:sz w:val="22"/>
        </w:rPr>
        <w:t>193D—3.6</w:t>
      </w:r>
      <w:r>
        <w:rPr>
          <w:rFonts w:ascii="Times New Roman" w:hAnsi="Times New Roman"/>
          <w:b/>
          <w:i w:val="false"/>
          <w:color w:val="000000"/>
          <w:sz w:val="22"/>
        </w:rPr>
        <w:t xml:space="preserve">(544B,17A) </w:t>
      </w:r>
      <w:r>
        <w:rPr>
          <w:rFonts w:ascii="Times New Roman" w:hAnsi="Times New Roman"/>
          <w:b/>
          <w:i w:val="false"/>
          <w:color w:val="000000"/>
          <w:sz w:val="22"/>
        </w:rPr>
        <w:t xml:space="preserve">Methods of compliance and exemptions. </w:t>
      </w:r>
      <w:r>
        <w:rPr>
          <w:rFonts w:ascii="Times New Roman" w:hAnsi="Times New Roman"/>
          <w:b w:val="false"/>
          <w:i w:val="false"/>
          <w:color w:val="000000"/>
          <w:sz w:val="22"/>
        </w:rPr>
        <w:t>A licensee licensed to practice as a professional landscape architect shall be deemed to have complied with the continuing education requirements during the continuing education compliance period that the licensee: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Serves honorably on active duty in the military service;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Resides in another state or district having a continuing education requirement for the occupation or profession and meets all the requirements of that state or district for practice therein;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Is a government employee working as a professional landscape architect and assigned to duty outside the United States;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Is approved by the board for periods of active practice and absence from the state.</w:t>
      </w:r>
    </w:p>
    <w:p>
      <w:pPr>
        <w:spacing w:before="0" w:after="0"/>
        <w:ind w:left="120"/>
        <w:jc w:val="both"/>
      </w:pPr>
      <w:r>
        <w:rPr>
          <w:rFonts w:ascii="Times New Roman" w:hAnsi="Times New Roman"/>
          <w:b w:val="false"/>
          <w:i w:val="false"/>
          <w:color w:val="000000"/>
          <w:sz w:val="22"/>
        </w:rPr>
        <w:t>If the licensee was not engaged in active practice as a professional landscape architect and will maintain inactive status during the period for which renewal is requested, the board may exempt the licensee from continuing education. No exemption shall be granted without a written request from the licensee.</w:t>
      </w:r>
    </w:p>
    <w:p>
      <w:pPr>
        <w:spacing w:before="210" w:after="0"/>
        <w:ind w:left="120"/>
        <w:jc w:val="both"/>
      </w:pPr>
      <w:r>
        <w:rPr>
          <w:rFonts w:ascii="Times New Roman" w:hAnsi="Times New Roman"/>
          <w:b/>
          <w:i w:val="false"/>
          <w:color w:val="000000"/>
          <w:sz w:val="22"/>
        </w:rPr>
        <w:t>193D—3.7</w:t>
      </w:r>
      <w:r>
        <w:rPr>
          <w:rFonts w:ascii="Times New Roman" w:hAnsi="Times New Roman"/>
          <w:b/>
          <w:i w:val="false"/>
          <w:color w:val="000000"/>
          <w:sz w:val="22"/>
        </w:rPr>
        <w:t xml:space="preserve">(544B,17A) </w:t>
      </w:r>
      <w:r>
        <w:rPr>
          <w:rFonts w:ascii="Times New Roman" w:hAnsi="Times New Roman"/>
          <w:b/>
          <w:i w:val="false"/>
          <w:color w:val="000000"/>
          <w:sz w:val="22"/>
        </w:rPr>
        <w:t xml:space="preserve">Grounds for denial of license renewal. </w:t>
      </w:r>
      <w:r>
        <w:rPr>
          <w:rFonts w:ascii="Times New Roman" w:hAnsi="Times New Roman"/>
          <w:b w:val="false"/>
          <w:i w:val="false"/>
          <w:color w:val="000000"/>
          <w:sz w:val="22"/>
        </w:rPr>
        <w:t>Failure of a licensee to complete the continuing education requirements as set forth in this chapter, or failure to file a report of completed continuing education, or failure to submit a written request for waiver or exemption shall be grounds for the board to deny renewal of the license.</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11/9/78, Notice 10/4/78—published 11/29/78, effective 1/3/79]</w:t>
      </w:r>
    </w:p>
    <w:p>
      <w:pPr>
        <w:spacing w:before="0" w:after="0"/>
        <w:ind w:left="120"/>
        <w:jc w:val="center"/>
      </w:pPr>
      <w:r>
        <w:rPr>
          <w:rFonts w:ascii="Times New Roman" w:hAnsi="Times New Roman"/>
          <w:b w:val="false"/>
          <w:i w:val="false"/>
          <w:color w:val="000000"/>
          <w:sz w:val="21"/>
        </w:rPr>
        <w:t>[Filed 2/18/88, Notice 12/16/87—published 3/9/88, effective 4/13/88]</w:t>
      </w:r>
    </w:p>
    <w:p>
      <w:pPr>
        <w:spacing w:before="0" w:after="0"/>
        <w:ind w:left="120"/>
        <w:jc w:val="center"/>
      </w:pPr>
      <w:r>
        <w:rPr>
          <w:rFonts w:ascii="Times New Roman" w:hAnsi="Times New Roman"/>
          <w:b w:val="false"/>
          <w:i w:val="false"/>
          <w:color w:val="000000"/>
          <w:sz w:val="21"/>
        </w:rPr>
        <w:t>[Filed without Notice 2/18/88—published 3/9/88, effective 4/13/88]</w:t>
      </w:r>
    </w:p>
    <w:p>
      <w:pPr>
        <w:spacing w:before="0" w:after="0"/>
        <w:ind w:left="120"/>
        <w:jc w:val="center"/>
      </w:pPr>
      <w:r>
        <w:rPr>
          <w:rFonts w:ascii="Times New Roman" w:hAnsi="Times New Roman"/>
          <w:b w:val="false"/>
          <w:i w:val="false"/>
          <w:color w:val="000000"/>
          <w:sz w:val="21"/>
        </w:rPr>
        <w:t>[Filed 10/16/95, Notice 8/2/95—published 11/8/95, effective 12/13/95]</w:t>
      </w:r>
    </w:p>
    <w:p>
      <w:pPr>
        <w:spacing w:before="0" w:after="0"/>
        <w:ind w:left="120"/>
        <w:jc w:val="center"/>
      </w:pPr>
      <w:r>
        <w:rPr>
          <w:rFonts w:ascii="Times New Roman" w:hAnsi="Times New Roman"/>
          <w:b w:val="false"/>
          <w:i w:val="false"/>
          <w:color w:val="000000"/>
          <w:sz w:val="21"/>
        </w:rPr>
        <w:t>[Filed 2/17/00, Notice 12/15/99—published 3/8/00, effective 9/1/00]</w:t>
      </w:r>
    </w:p>
    <w:p>
      <w:pPr>
        <w:spacing w:before="0" w:after="0"/>
        <w:ind w:left="120"/>
        <w:jc w:val="center"/>
      </w:pPr>
      <w:r>
        <w:rPr>
          <w:rFonts w:ascii="Times New Roman" w:hAnsi="Times New Roman"/>
          <w:b w:val="false"/>
          <w:i w:val="false"/>
          <w:color w:val="000000"/>
          <w:sz w:val="21"/>
        </w:rPr>
        <w:t>[Filed 7/24/03, Notice 5/14/03—published 8/20/03, effective 9/24/03]</w:t>
      </w:r>
    </w:p>
    <w:p>
      <w:pPr>
        <w:spacing w:before="0" w:after="0"/>
        <w:ind w:left="120"/>
        <w:jc w:val="center"/>
      </w:pPr>
      <w:r>
        <w:rPr>
          <w:rFonts w:ascii="Times New Roman" w:hAnsi="Times New Roman"/>
          <w:b w:val="false"/>
          <w:i w:val="false"/>
          <w:color w:val="000000"/>
          <w:sz w:val="21"/>
        </w:rPr>
        <w:t>[Filed 10/20/05, Notice 8/3/05—published 11/9/05, effective 12/14/05]</w:t>
      </w:r>
    </w:p>
    <w:p>
      <w:pPr>
        <w:spacing w:before="0" w:after="0"/>
        <w:ind w:left="120"/>
        <w:jc w:val="center"/>
      </w:pPr>
      <w:r>
        <w:rPr>
          <w:rFonts w:ascii="Times New Roman" w:hAnsi="Times New Roman"/>
          <w:b w:val="false"/>
          <w:i w:val="false"/>
          <w:color w:val="000000"/>
          <w:sz w:val="21"/>
        </w:rPr>
        <w:t>[Filed 5/3/07, Notice 2/14/07—published 5/23/07, effective 6/27/07]</w:t>
      </w:r>
    </w:p>
    <w:p>
      <w:pPr>
        <w:spacing w:before="0" w:after="0"/>
        <w:ind w:left="120"/>
        <w:jc w:val="center"/>
      </w:pPr>
      <w:r>
        <w:rPr>
          <w:rFonts w:ascii="Times New Roman" w:hAnsi="Times New Roman"/>
          <w:b w:val="false"/>
          <w:i w:val="false"/>
          <w:color w:val="000000"/>
          <w:sz w:val="21"/>
        </w:rPr>
        <w:t>[Filed ARC 9749B</w:t>
      </w:r>
      <w:r>
        <w:rPr>
          <w:rFonts w:ascii="Times New Roman" w:hAnsi="Times New Roman"/>
          <w:b w:val="false"/>
          <w:i w:val="false"/>
          <w:color w:val="000000"/>
          <w:sz w:val="21"/>
        </w:rPr>
        <w:t xml:space="preserve"> (Notice ARC 9569B, IAB 6/29/11)</w:t>
      </w:r>
      <w:r>
        <w:rPr>
          <w:rFonts w:ascii="Times New Roman" w:hAnsi="Times New Roman"/>
          <w:b w:val="false"/>
          <w:i w:val="false"/>
          <w:color w:val="000000"/>
          <w:sz w:val="21"/>
        </w:rPr>
        <w:t>, IAB 9/21/11, effective 10/26/11]</w:t>
      </w:r>
    </w:p>
    <w:p>
      <w:pPr>
        <w:spacing w:before="0" w:after="0"/>
        <w:ind w:left="120"/>
        <w:jc w:val="center"/>
      </w:pPr>
      <w:r>
        <w:rPr>
          <w:rFonts w:ascii="Times New Roman" w:hAnsi="Times New Roman"/>
          <w:b w:val="false"/>
          <w:i w:val="false"/>
          <w:color w:val="000000"/>
          <w:sz w:val="21"/>
        </w:rPr>
        <w:t>[Filed ARC 3794C</w:t>
      </w:r>
      <w:r>
        <w:rPr>
          <w:rFonts w:ascii="Times New Roman" w:hAnsi="Times New Roman"/>
          <w:b w:val="false"/>
          <w:i w:val="false"/>
          <w:color w:val="000000"/>
          <w:sz w:val="21"/>
        </w:rPr>
        <w:t xml:space="preserve"> (Notice ARC 3653C, IAB 2/28/18)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5571C</w:t>
      </w:r>
      <w:r>
        <w:rPr>
          <w:rFonts w:ascii="Times New Roman" w:hAnsi="Times New Roman"/>
          <w:b w:val="false"/>
          <w:i w:val="false"/>
          <w:color w:val="000000"/>
          <w:sz w:val="21"/>
        </w:rPr>
        <w:t xml:space="preserve"> (Notice ARC 5430C, IAB 2/10/21)</w:t>
      </w:r>
      <w:r>
        <w:rPr>
          <w:rFonts w:ascii="Times New Roman" w:hAnsi="Times New Roman"/>
          <w:b w:val="false"/>
          <w:i w:val="false"/>
          <w:color w:val="000000"/>
          <w:sz w:val="21"/>
        </w:rPr>
        <w:t>, IAB 4/21/21, effective 5/26/21]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4B.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