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w:t>
      </w:r>
    </w:p>
    <w:p>
      <w:pPr>
        <w:spacing w:before="0" w:after="0"/>
        <w:ind w:left="120"/>
        <w:jc w:val="center"/>
      </w:pPr>
      <w:r>
        <w:rPr>
          <w:rFonts w:ascii="Times New Roman" w:hAnsi="Times New Roman"/>
          <w:b w:val="false"/>
          <w:i w:val="false"/>
          <w:color w:val="000000"/>
          <w:sz w:val="21"/>
        </w:rPr>
        <w:t>DESCRIPTION OF ORGANIZATION</w:t>
      </w:r>
    </w:p>
    <w:p>
      <w:pPr>
        <w:spacing w:before="0" w:after="0"/>
        <w:ind w:left="120"/>
        <w:jc w:val="center"/>
      </w:pPr>
      <w:r>
        <w:rPr>
          <w:rFonts w:ascii="Times New Roman" w:hAnsi="Times New Roman"/>
          <w:b w:val="false"/>
          <w:i w:val="false"/>
          <w:color w:val="000000"/>
          <w:sz w:val="14"/>
        </w:rPr>
        <w:t>[Prior to 3/9/88, see Landscape Architectural Examiners Board[540] Ch 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193D—1.1</w:t>
      </w:r>
      <w:r>
        <w:rPr>
          <w:rFonts w:ascii="Times New Roman" w:hAnsi="Times New Roman"/>
          <w:b/>
          <w:i w:val="false"/>
          <w:color w:val="000000"/>
          <w:sz w:val="22"/>
        </w:rPr>
        <w:t xml:space="preserve">(544B,17A)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these rules, the following definitions of words and terms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means the Iowa landscape architectural examining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“CLARB” </w:t>
      </w:r>
      <w:r>
        <w:rPr>
          <w:rFonts w:ascii="Times New Roman" w:hAnsi="Times New Roman"/>
          <w:b w:val="false"/>
          <w:i w:val="false"/>
          <w:color w:val="000000"/>
          <w:sz w:val="22"/>
        </w:rPr>
        <w:t>means the Council of Landscape Architectural Registration Boards.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“Evidence” </w:t>
      </w:r>
      <w:r>
        <w:rPr>
          <w:rFonts w:ascii="Times New Roman" w:hAnsi="Times New Roman"/>
          <w:b w:val="false"/>
          <w:i w:val="false"/>
          <w:color w:val="000000"/>
          <w:sz w:val="22"/>
        </w:rPr>
        <w:t>means any document or record of any kind of drawings, specifications, photographs, diplomas, licensee statements, published data and certified personal statements as may be required as a part of any action on the part of the board. Each item of evidence shall be clearly marked to ensure positive and certain identification. It shall be the entire responsibility of the applicant to satisfy the board as to the sufficiency of the record and the evidence.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“Inactive” </w:t>
      </w:r>
      <w:r>
        <w:rPr>
          <w:rFonts w:ascii="Times New Roman" w:hAnsi="Times New Roman"/>
          <w:b w:val="false"/>
          <w:i w:val="false"/>
          <w:color w:val="000000"/>
          <w:sz w:val="22"/>
        </w:rPr>
        <w:t>means that a landscape architect is not engaged in Iowa in any practice for which a certificate of licensure is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“Intern landscape architect” </w:t>
      </w:r>
      <w:r>
        <w:rPr>
          <w:rFonts w:ascii="Times New Roman" w:hAnsi="Times New Roman"/>
          <w:b w:val="false"/>
          <w:i w:val="false"/>
          <w:color w:val="000000"/>
          <w:sz w:val="22"/>
        </w:rPr>
        <w:t>means an individual who is not licensed and has a degree in landscape architecture and is employed under the direct supervision of a professional landscape architect. The initials “I.L.A.” should not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“LARE” </w:t>
      </w:r>
      <w:r>
        <w:rPr>
          <w:rFonts w:ascii="Times New Roman" w:hAnsi="Times New Roman"/>
          <w:b w:val="false"/>
          <w:i w:val="false"/>
          <w:color w:val="000000"/>
          <w:sz w:val="22"/>
        </w:rPr>
        <w:t>means the landscape architecture registration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“P.L.A., retired” </w:t>
      </w:r>
      <w:r>
        <w:rPr>
          <w:rFonts w:ascii="Times New Roman" w:hAnsi="Times New Roman"/>
          <w:b w:val="false"/>
          <w:i w:val="false"/>
          <w:color w:val="000000"/>
          <w:sz w:val="22"/>
        </w:rPr>
        <w:t>means the same as “professional landscape architect, retired.”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“Practice of landscape architecture” </w:t>
      </w:r>
      <w:r>
        <w:rPr>
          <w:rFonts w:ascii="Times New Roman" w:hAnsi="Times New Roman"/>
          <w:b w:val="false"/>
          <w:i w:val="false"/>
          <w:color w:val="000000"/>
          <w:sz w:val="22"/>
        </w:rPr>
        <w:t xml:space="preserve">means the performance of professional service or offering to render professional services to clients, including any one or any combination of the professional services defined in Iowa Code section </w:t>
      </w:r>
      <w:hyperlink r:id="rId5">
        <w:r>
          <w:rPr>
            <w:rStyle w:val="Hyperlink"/>
            <w:rFonts w:ascii="Times New Roman" w:hAnsi="Times New Roman"/>
            <w:b w:val="false"/>
            <w:i w:val="false"/>
            <w:color w:val="000000"/>
            <w:sz w:val="22"/>
          </w:rPr>
          <w:t>544B.1(2)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“Professional landscape architect” </w:t>
      </w:r>
      <w:r>
        <w:rPr>
          <w:rFonts w:ascii="Times New Roman" w:hAnsi="Times New Roman"/>
          <w:b w:val="false"/>
          <w:i w:val="false"/>
          <w:color w:val="000000"/>
          <w:sz w:val="22"/>
        </w:rPr>
        <w:t xml:space="preserve">means a person who obtains a license and engages in the practice of landscape architecture under the authority of Iowa Code chapter </w:t>
      </w:r>
      <w:hyperlink r:id="rId6">
        <w:r>
          <w:rPr>
            <w:rStyle w:val="Hyperlink"/>
            <w:rFonts w:ascii="Times New Roman" w:hAnsi="Times New Roman"/>
            <w:b w:val="false"/>
            <w:i w:val="false"/>
            <w:color w:val="000000"/>
            <w:sz w:val="22"/>
          </w:rPr>
          <w:t>544B</w:t>
        </w:r>
      </w:hyperlink>
      <w:r>
        <w:rPr>
          <w:rFonts w:ascii="Times New Roman" w:hAnsi="Times New Roman"/>
          <w:b w:val="false"/>
          <w:i w:val="false"/>
          <w:color w:val="000000"/>
          <w:sz w:val="22"/>
        </w:rPr>
        <w:t>. For the purpose of these rules, a “professional landscape architect” may be referred to as a “landscape architect” and may use the initials “P.L.A.”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“Professional landscape architect, retired” </w:t>
      </w:r>
      <w:r>
        <w:rPr>
          <w:rFonts w:ascii="Times New Roman" w:hAnsi="Times New Roman"/>
          <w:b w:val="false"/>
          <w:i w:val="false"/>
          <w:color w:val="000000"/>
          <w:sz w:val="22"/>
        </w:rPr>
        <w:t>means a person who has retired from working as a landscape architect in all states of licensure and who has requested “landscape architect, retired” status on the licensure renewal form. The retired status would become effective on the first scheduled licensure renewal date. For the purpose of these rules, a “professional landscape architect, retired” may be referred to as a “landscape architect, retired.”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“Retired” </w:t>
      </w:r>
      <w:r>
        <w:rPr>
          <w:rFonts w:ascii="Times New Roman" w:hAnsi="Times New Roman"/>
          <w:b w:val="false"/>
          <w:i w:val="false"/>
          <w:color w:val="000000"/>
          <w:sz w:val="22"/>
        </w:rPr>
        <w:t>means that a landscape architect is not engaged in the practice of landscape architecture or earning monetary compensation by providing professional landscape architectural services in any licensing jurisdiction of the United States or a foreign country.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“Years of practical experience” </w:t>
      </w:r>
      <w:r>
        <w:rPr>
          <w:rFonts w:ascii="Times New Roman" w:hAnsi="Times New Roman"/>
          <w:b w:val="false"/>
          <w:i w:val="false"/>
          <w:color w:val="000000"/>
          <w:sz w:val="22"/>
        </w:rPr>
        <w:t>means, for each year of practical experience the applicant has worked performing landscape architectural services, a minimum of 2,080 hours per year.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0213C</w:t>
      </w:r>
      <w:r>
        <w:rPr>
          <w:rFonts w:ascii="Times New Roman" w:hAnsi="Times New Roman"/>
          <w:b w:val="false"/>
          <w:i w:val="false"/>
          <w:color w:val="000000"/>
          <w:sz w:val="16"/>
        </w:rPr>
        <w:t>, IAB 7/25/12, effective 8/29/12</w:t>
      </w:r>
      <w:r>
        <w:rPr>
          <w:rFonts w:ascii="Times New Roman" w:hAnsi="Times New Roman"/>
          <w:b w:val="false"/>
          <w:i w:val="false"/>
          <w:color w:val="000000"/>
          <w:sz w:val="16"/>
        </w:rPr>
        <w:t xml:space="preserve">; </w:t>
      </w:r>
      <w:r>
        <w:rPr>
          <w:rFonts w:ascii="Times New Roman" w:hAnsi="Times New Roman"/>
          <w:b/>
          <w:i w:val="false"/>
          <w:color w:val="000000"/>
          <w:sz w:val="16"/>
        </w:rPr>
        <w:t>ARC 3097C</w:t>
      </w:r>
      <w:r>
        <w:rPr>
          <w:rFonts w:ascii="Times New Roman" w:hAnsi="Times New Roman"/>
          <w:b w:val="false"/>
          <w:i w:val="false"/>
          <w:color w:val="000000"/>
          <w:sz w:val="16"/>
        </w:rPr>
        <w:t>, IAB 6/7/17, effective 7/12/17</w:t>
      </w:r>
      <w:r>
        <w:rPr>
          <w:rFonts w:ascii="Times New Roman" w:hAnsi="Times New Roman"/>
          <w:b w:val="false"/>
          <w:i w:val="false"/>
          <w:color w:val="000000"/>
          <w:sz w:val="16"/>
        </w:rPr>
        <w:t xml:space="preserve">; </w:t>
      </w:r>
      <w:r>
        <w:rPr>
          <w:rFonts w:ascii="Times New Roman" w:hAnsi="Times New Roman"/>
          <w:b/>
          <w:i w:val="false"/>
          <w:color w:val="000000"/>
          <w:sz w:val="16"/>
        </w:rPr>
        <w:t>ARC 5571C</w:t>
      </w:r>
      <w:r>
        <w:rPr>
          <w:rFonts w:ascii="Times New Roman" w:hAnsi="Times New Roman"/>
          <w:b w:val="false"/>
          <w:i w:val="false"/>
          <w:color w:val="000000"/>
          <w:sz w:val="16"/>
        </w:rPr>
        <w:t>, IAB 4/21/21, effective 5/26/21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193D—1.2</w:t>
      </w:r>
      <w:r>
        <w:rPr>
          <w:rFonts w:ascii="Times New Roman" w:hAnsi="Times New Roman"/>
          <w:b/>
          <w:i w:val="false"/>
          <w:color w:val="000000"/>
          <w:sz w:val="22"/>
        </w:rPr>
        <w:t xml:space="preserve">(544B,17A) </w:t>
      </w:r>
      <w:r>
        <w:rPr>
          <w:rFonts w:ascii="Times New Roman" w:hAnsi="Times New Roman"/>
          <w:b/>
          <w:i w:val="false"/>
          <w:color w:val="000000"/>
          <w:sz w:val="22"/>
        </w:rPr>
        <w:t xml:space="preserve">Organization and duties. </w:t>
      </w:r>
      <w:r>
        <w:rPr>
          <w:rFonts w:ascii="Times New Roman" w:hAnsi="Times New Roman"/>
          <w:b w:val="false"/>
          <w:i w:val="false"/>
          <w:color w:val="000000"/>
          <w:sz w:val="22"/>
        </w:rPr>
        <w:t xml:space="preserve">The board consists of five members who are licensed professional landscape architects and two members who are not licensed professional landscape architects and who represent the general public.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w:t>
      </w:r>
      <w:r>
        <w:rPr>
          <w:rFonts w:ascii="Times New Roman" w:hAnsi="Times New Roman"/>
          <w:b w:val="false"/>
          <w:i w:val="false"/>
          <w:color w:val="000000"/>
          <w:sz w:val="22"/>
        </w:rPr>
        <w:t> </w:t>
      </w:r>
      <w:r>
        <w:rPr>
          <w:rFonts w:ascii="Times New Roman" w:hAnsi="Times New Roman"/>
          <w:b w:val="false"/>
          <w:i/>
          <w:color w:val="000000"/>
          <w:sz w:val="22"/>
        </w:rPr>
        <w:t xml:space="preserve">Qualifications of professional landscape architect board members. </w:t>
      </w:r>
      <w:r>
        <w:rPr>
          <w:rFonts w:ascii="Times New Roman" w:hAnsi="Times New Roman"/>
          <w:b w:val="false"/>
          <w:i w:val="false"/>
          <w:color w:val="000000"/>
          <w:sz w:val="22"/>
        </w:rPr>
        <w:t xml:space="preserve">Four of the five professional members shall be actively engaged in the practice of landscape architecture or the teaching of landscape architecture in an accredited college or university, and shall have been so engaged for five years preceding appointment, the last two of which shall have been in Iowa. One of the five professional members shall be actively engaged in the practice of landscape architecture or the teaching of landscape architecture in an accredited college or university, and may have been so engaged for fewer than five years preceding.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w:t>
      </w:r>
      <w:r>
        <w:rPr>
          <w:rFonts w:ascii="Times New Roman" w:hAnsi="Times New Roman"/>
          <w:b w:val="false"/>
          <w:i w:val="false"/>
          <w:color w:val="000000"/>
          <w:sz w:val="22"/>
        </w:rPr>
        <w:t> </w:t>
      </w:r>
      <w:r>
        <w:rPr>
          <w:rFonts w:ascii="Times New Roman" w:hAnsi="Times New Roman"/>
          <w:b w:val="false"/>
          <w:i/>
          <w:color w:val="000000"/>
          <w:sz w:val="22"/>
        </w:rPr>
        <w:t xml:space="preserve">Election of chairperson and vice chairperson. </w:t>
      </w:r>
      <w:r>
        <w:rPr>
          <w:rFonts w:ascii="Times New Roman" w:hAnsi="Times New Roman"/>
          <w:b w:val="false"/>
          <w:i w:val="false"/>
          <w:color w:val="000000"/>
          <w:sz w:val="22"/>
        </w:rPr>
        <w:t xml:space="preserve">The board elects annually from its members a chairperson and a vice chairperson. A quorum of the board shall be four members, and all final motions and actions must receive a vote by a majority of the members of the board.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w:t>
      </w:r>
      <w:r>
        <w:rPr>
          <w:rFonts w:ascii="Times New Roman" w:hAnsi="Times New Roman"/>
          <w:b w:val="false"/>
          <w:i w:val="false"/>
          <w:color w:val="000000"/>
          <w:sz w:val="22"/>
        </w:rPr>
        <w:t> </w:t>
      </w:r>
      <w:r>
        <w:rPr>
          <w:rFonts w:ascii="Times New Roman" w:hAnsi="Times New Roman"/>
          <w:b w:val="false"/>
          <w:i/>
          <w:color w:val="000000"/>
          <w:sz w:val="22"/>
        </w:rPr>
        <w:t xml:space="preserve">Duties of board. </w:t>
      </w:r>
      <w:r>
        <w:rPr>
          <w:rFonts w:ascii="Times New Roman" w:hAnsi="Times New Roman"/>
          <w:b w:val="false"/>
          <w:i w:val="false"/>
          <w:color w:val="000000"/>
          <w:sz w:val="22"/>
        </w:rPr>
        <w:t xml:space="preserve">The board enforces the provisions of Iowa Code chapter </w:t>
      </w:r>
      <w:hyperlink r:id="rId7">
        <w:r>
          <w:rPr>
            <w:rStyle w:val="Hyperlink"/>
            <w:rFonts w:ascii="Times New Roman" w:hAnsi="Times New Roman"/>
            <w:b w:val="false"/>
            <w:i w:val="false"/>
            <w:color w:val="000000"/>
            <w:sz w:val="22"/>
          </w:rPr>
          <w:t>544B</w:t>
        </w:r>
      </w:hyperlink>
      <w:r>
        <w:rPr>
          <w:rFonts w:ascii="Times New Roman" w:hAnsi="Times New Roman"/>
          <w:b w:val="false"/>
          <w:i w:val="false"/>
          <w:color w:val="000000"/>
          <w:sz w:val="22"/>
        </w:rPr>
        <w:t xml:space="preserve"> and makes rules for the examination of applications for licensure. The board keeps records of its proceedings. The board adopts an official seal which is affixed to all certificates of licensure granted. The board makes other rules, not inconsistent with law, as necessary for the proper performance of its duties. The board maintains a roster showing the name, place of business, residence, and date and number of the certificate of licensure of every professional landscape architect in the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w:t>
      </w:r>
      <w:r>
        <w:rPr>
          <w:rFonts w:ascii="Times New Roman" w:hAnsi="Times New Roman"/>
          <w:b w:val="false"/>
          <w:i w:val="false"/>
          <w:color w:val="000000"/>
          <w:sz w:val="22"/>
        </w:rPr>
        <w:t> </w:t>
      </w:r>
      <w:r>
        <w:rPr>
          <w:rFonts w:ascii="Times New Roman" w:hAnsi="Times New Roman"/>
          <w:b w:val="false"/>
          <w:i/>
          <w:color w:val="000000"/>
          <w:sz w:val="22"/>
        </w:rPr>
        <w:t xml:space="preserve">Duties of chairperson. </w:t>
      </w:r>
      <w:r>
        <w:rPr>
          <w:rFonts w:ascii="Times New Roman" w:hAnsi="Times New Roman"/>
          <w:b w:val="false"/>
          <w:i w:val="false"/>
          <w:color w:val="000000"/>
          <w:sz w:val="22"/>
        </w:rPr>
        <w:t>The chairperson shall, when present, preside at meetings, appoint committees, and perform all duties and powers of the chairperson.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w:t>
      </w:r>
      <w:r>
        <w:rPr>
          <w:rFonts w:ascii="Times New Roman" w:hAnsi="Times New Roman"/>
          <w:b w:val="false"/>
          <w:i w:val="false"/>
          <w:color w:val="000000"/>
          <w:sz w:val="22"/>
        </w:rPr>
        <w:t> </w:t>
      </w:r>
      <w:r>
        <w:rPr>
          <w:rFonts w:ascii="Times New Roman" w:hAnsi="Times New Roman"/>
          <w:b w:val="false"/>
          <w:i/>
          <w:color w:val="000000"/>
          <w:sz w:val="22"/>
        </w:rPr>
        <w:t xml:space="preserve">Duties of vice chairperson. </w:t>
      </w:r>
      <w:r>
        <w:rPr>
          <w:rFonts w:ascii="Times New Roman" w:hAnsi="Times New Roman"/>
          <w:b w:val="false"/>
          <w:i w:val="false"/>
          <w:color w:val="000000"/>
          <w:sz w:val="22"/>
        </w:rPr>
        <w:t>The vice chairperson shall, in the absence or incapacity of the chairperson, exercise the duties and powers of the chairperson.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3097C</w:t>
      </w:r>
      <w:r>
        <w:rPr>
          <w:rFonts w:ascii="Times New Roman" w:hAnsi="Times New Roman"/>
          <w:b w:val="false"/>
          <w:i w:val="false"/>
          <w:color w:val="000000"/>
          <w:sz w:val="16"/>
        </w:rPr>
        <w:t>, IAB 6/7/17, effective 7/12/17</w:t>
      </w:r>
      <w:r>
        <w:rPr>
          <w:rFonts w:ascii="Times New Roman" w:hAnsi="Times New Roman"/>
          <w:b w:val="false"/>
          <w:i w:val="false"/>
          <w:color w:val="000000"/>
          <w:sz w:val="16"/>
        </w:rPr>
        <w:t xml:space="preserve">; </w:t>
      </w:r>
      <w:r>
        <w:rPr>
          <w:rFonts w:ascii="Times New Roman" w:hAnsi="Times New Roman"/>
          <w:b/>
          <w:i w:val="false"/>
          <w:color w:val="000000"/>
          <w:sz w:val="16"/>
        </w:rPr>
        <w:t>ARC 5571C</w:t>
      </w:r>
      <w:r>
        <w:rPr>
          <w:rFonts w:ascii="Times New Roman" w:hAnsi="Times New Roman"/>
          <w:b w:val="false"/>
          <w:i w:val="false"/>
          <w:color w:val="000000"/>
          <w:sz w:val="16"/>
        </w:rPr>
        <w:t>, IAB 4/21/21, effective 5/26/21</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193D—1.3</w:t>
      </w:r>
      <w:r>
        <w:rPr>
          <w:rFonts w:ascii="Times New Roman" w:hAnsi="Times New Roman"/>
          <w:b/>
          <w:i w:val="false"/>
          <w:color w:val="000000"/>
          <w:sz w:val="22"/>
        </w:rPr>
        <w:t xml:space="preserve">(544B,17A) </w:t>
      </w:r>
      <w:r>
        <w:rPr>
          <w:rFonts w:ascii="Times New Roman" w:hAnsi="Times New Roman"/>
          <w:b/>
          <w:i w:val="false"/>
          <w:color w:val="000000"/>
          <w:sz w:val="22"/>
        </w:rPr>
        <w:t xml:space="preserve">Meetings. </w:t>
      </w:r>
      <w:r>
        <w:rPr>
          <w:rFonts w:ascii="Times New Roman" w:hAnsi="Times New Roman"/>
          <w:b w:val="false"/>
          <w:i w:val="false"/>
          <w:color w:val="000000"/>
          <w:sz w:val="22"/>
        </w:rPr>
        <w:t xml:space="preserve">Calls for meetings shall be issued in accordance with Iowa Code section </w:t>
      </w:r>
      <w:hyperlink r:id="rId8">
        <w:r>
          <w:rPr>
            <w:rStyle w:val="Hyperlink"/>
            <w:rFonts w:ascii="Times New Roman" w:hAnsi="Times New Roman"/>
            <w:b w:val="false"/>
            <w:i w:val="false"/>
            <w:color w:val="000000"/>
            <w:sz w:val="22"/>
          </w:rPr>
          <w:t>21.4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193D—1.4</w:t>
      </w:r>
      <w:r>
        <w:rPr>
          <w:rFonts w:ascii="Times New Roman" w:hAnsi="Times New Roman"/>
          <w:b/>
          <w:i w:val="false"/>
          <w:color w:val="000000"/>
          <w:sz w:val="22"/>
        </w:rPr>
        <w:t xml:space="preserve">(544B,17A) </w:t>
      </w:r>
      <w:r>
        <w:rPr>
          <w:rFonts w:ascii="Times New Roman" w:hAnsi="Times New Roman"/>
          <w:b/>
          <w:i w:val="false"/>
          <w:color w:val="000000"/>
          <w:sz w:val="22"/>
        </w:rPr>
        <w:t xml:space="preserve">Order of business. </w:t>
      </w:r>
      <w:r>
        <w:rPr>
          <w:rFonts w:ascii="Times New Roman" w:hAnsi="Times New Roman"/>
          <w:b w:val="false"/>
          <w:i w:val="false"/>
          <w:color w:val="000000"/>
          <w:sz w:val="22"/>
        </w:rPr>
        <w:t xml:space="preserve">The chairperson or the board administrator shall prepare an agenda listing all matters to be discussed at meetings. A copy of this agenda shall be available to each member of the board.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3097C</w:t>
      </w:r>
      <w:r>
        <w:rPr>
          <w:rFonts w:ascii="Times New Roman" w:hAnsi="Times New Roman"/>
          <w:b w:val="false"/>
          <w:i w:val="false"/>
          <w:color w:val="000000"/>
          <w:sz w:val="16"/>
        </w:rPr>
        <w:t>, IAB 6/7/17, effective 7/12/17</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193D—1.5</w:t>
      </w:r>
      <w:r>
        <w:rPr>
          <w:rFonts w:ascii="Times New Roman" w:hAnsi="Times New Roman"/>
          <w:b/>
          <w:i w:val="false"/>
          <w:color w:val="000000"/>
          <w:sz w:val="22"/>
        </w:rPr>
        <w:t xml:space="preserve">(22) </w:t>
      </w:r>
      <w:r>
        <w:rPr>
          <w:rFonts w:ascii="Times New Roman" w:hAnsi="Times New Roman"/>
          <w:b/>
          <w:i w:val="false"/>
          <w:color w:val="000000"/>
          <w:sz w:val="22"/>
        </w:rPr>
        <w:t xml:space="preserve">Public records and fair information practices. </w:t>
      </w:r>
      <w:r>
        <w:rPr>
          <w:rFonts w:ascii="Times New Roman" w:hAnsi="Times New Roman"/>
          <w:b w:val="false"/>
          <w:i w:val="false"/>
          <w:color w:val="000000"/>
          <w:sz w:val="22"/>
        </w:rPr>
        <w:t xml:space="preserve">Rescinded </w:t>
      </w:r>
      <w:r>
        <w:rPr>
          <w:rFonts w:ascii="Times New Roman" w:hAnsi="Times New Roman"/>
          <w:b/>
          <w:i w:val="false"/>
          <w:color w:val="000000"/>
          <w:sz w:val="22"/>
        </w:rPr>
        <w:t>ARC 3097C</w:t>
      </w:r>
      <w:r>
        <w:rPr>
          <w:rFonts w:ascii="Times New Roman" w:hAnsi="Times New Roman"/>
          <w:b w:val="false"/>
          <w:i w:val="false"/>
          <w:color w:val="000000"/>
          <w:sz w:val="22"/>
        </w:rPr>
        <w:t xml:space="preserve">, </w:t>
      </w:r>
      <w:r>
        <w:rPr>
          <w:rFonts w:ascii="Times New Roman" w:hAnsi="Times New Roman"/>
          <w:b w:val="false"/>
          <w:i w:val="false"/>
          <w:color w:val="000000"/>
          <w:sz w:val="22"/>
        </w:rPr>
        <w:t>IAB 6/7/17</w:t>
      </w:r>
      <w:r>
        <w:rPr>
          <w:rFonts w:ascii="Times New Roman" w:hAnsi="Times New Roman"/>
          <w:b w:val="false"/>
          <w:i w:val="false"/>
          <w:color w:val="000000"/>
          <w:sz w:val="22"/>
        </w:rPr>
        <w:t xml:space="preserve">, effective 7/12/17. </w:t>
      </w:r>
    </w:p>
    <w:p>
      <w:pPr>
        <w:spacing w:before="210" w:after="0"/>
        <w:ind w:left="120"/>
        <w:jc w:val="both"/>
      </w:pPr>
      <w:r>
        <w:rPr>
          <w:rFonts w:ascii="Times New Roman" w:hAnsi="Times New Roman"/>
          <w:b/>
          <w:i w:val="false"/>
          <w:color w:val="000000"/>
          <w:sz w:val="22"/>
        </w:rPr>
        <w:t>193D—1.6</w:t>
      </w:r>
      <w:r>
        <w:rPr>
          <w:rFonts w:ascii="Times New Roman" w:hAnsi="Times New Roman"/>
          <w:b/>
          <w:i w:val="false"/>
          <w:color w:val="000000"/>
          <w:sz w:val="22"/>
        </w:rPr>
        <w:t xml:space="preserve">(68B) </w:t>
      </w:r>
      <w:r>
        <w:rPr>
          <w:rFonts w:ascii="Times New Roman" w:hAnsi="Times New Roman"/>
          <w:b/>
          <w:i w:val="false"/>
          <w:color w:val="000000"/>
          <w:sz w:val="22"/>
        </w:rPr>
        <w:t xml:space="preserve">Sales of goods and services. </w:t>
      </w:r>
      <w:r>
        <w:rPr>
          <w:rFonts w:ascii="Times New Roman" w:hAnsi="Times New Roman"/>
          <w:b w:val="false"/>
          <w:i w:val="false"/>
          <w:color w:val="000000"/>
          <w:sz w:val="22"/>
        </w:rPr>
        <w:t xml:space="preserve">Rescinded </w:t>
      </w:r>
      <w:r>
        <w:rPr>
          <w:rFonts w:ascii="Times New Roman" w:hAnsi="Times New Roman"/>
          <w:b/>
          <w:i w:val="false"/>
          <w:color w:val="000000"/>
          <w:sz w:val="22"/>
        </w:rPr>
        <w:t>ARC 3097C</w:t>
      </w:r>
      <w:r>
        <w:rPr>
          <w:rFonts w:ascii="Times New Roman" w:hAnsi="Times New Roman"/>
          <w:b w:val="false"/>
          <w:i w:val="false"/>
          <w:color w:val="000000"/>
          <w:sz w:val="22"/>
        </w:rPr>
        <w:t xml:space="preserve">, </w:t>
      </w:r>
      <w:r>
        <w:rPr>
          <w:rFonts w:ascii="Times New Roman" w:hAnsi="Times New Roman"/>
          <w:b w:val="false"/>
          <w:i w:val="false"/>
          <w:color w:val="000000"/>
          <w:sz w:val="22"/>
        </w:rPr>
        <w:t>IAB 6/7/17</w:t>
      </w:r>
      <w:r>
        <w:rPr>
          <w:rFonts w:ascii="Times New Roman" w:hAnsi="Times New Roman"/>
          <w:b w:val="false"/>
          <w:i w:val="false"/>
          <w:color w:val="000000"/>
          <w:sz w:val="22"/>
        </w:rPr>
        <w:t xml:space="preserve">, effective 7/12/17. </w:t>
      </w:r>
    </w:p>
    <w:p>
      <w:pPr>
        <w:spacing w:before="210" w:after="0"/>
        <w:ind w:left="120"/>
        <w:jc w:val="both"/>
      </w:pPr>
      <w:r>
        <w:rPr>
          <w:rFonts w:ascii="Times New Roman" w:hAnsi="Times New Roman"/>
          <w:b/>
          <w:i w:val="false"/>
          <w:color w:val="000000"/>
          <w:sz w:val="22"/>
        </w:rPr>
        <w:t>193D—1.7</w:t>
      </w:r>
      <w:r>
        <w:rPr>
          <w:rFonts w:ascii="Times New Roman" w:hAnsi="Times New Roman"/>
          <w:b/>
          <w:i w:val="false"/>
          <w:color w:val="000000"/>
          <w:sz w:val="22"/>
        </w:rPr>
        <w:t xml:space="preserve">(17A) </w:t>
      </w:r>
      <w:r>
        <w:rPr>
          <w:rFonts w:ascii="Times New Roman" w:hAnsi="Times New Roman"/>
          <w:b/>
          <w:i w:val="false"/>
          <w:color w:val="000000"/>
          <w:sz w:val="22"/>
        </w:rPr>
        <w:t xml:space="preserve">Petitions for rule making. </w:t>
      </w:r>
      <w:r>
        <w:rPr>
          <w:rFonts w:ascii="Times New Roman" w:hAnsi="Times New Roman"/>
          <w:b w:val="false"/>
          <w:i w:val="false"/>
          <w:color w:val="000000"/>
          <w:sz w:val="22"/>
        </w:rPr>
        <w:t xml:space="preserve">Rescinded </w:t>
      </w:r>
      <w:r>
        <w:rPr>
          <w:rFonts w:ascii="Times New Roman" w:hAnsi="Times New Roman"/>
          <w:b/>
          <w:i w:val="false"/>
          <w:color w:val="000000"/>
          <w:sz w:val="22"/>
        </w:rPr>
        <w:t>ARC 3097C</w:t>
      </w:r>
      <w:r>
        <w:rPr>
          <w:rFonts w:ascii="Times New Roman" w:hAnsi="Times New Roman"/>
          <w:b w:val="false"/>
          <w:i w:val="false"/>
          <w:color w:val="000000"/>
          <w:sz w:val="22"/>
        </w:rPr>
        <w:t xml:space="preserve">, </w:t>
      </w:r>
      <w:r>
        <w:rPr>
          <w:rFonts w:ascii="Times New Roman" w:hAnsi="Times New Roman"/>
          <w:b w:val="false"/>
          <w:i w:val="false"/>
          <w:color w:val="000000"/>
          <w:sz w:val="22"/>
        </w:rPr>
        <w:t>IAB 6/7/17</w:t>
      </w:r>
      <w:r>
        <w:rPr>
          <w:rFonts w:ascii="Times New Roman" w:hAnsi="Times New Roman"/>
          <w:b w:val="false"/>
          <w:i w:val="false"/>
          <w:color w:val="000000"/>
          <w:sz w:val="22"/>
        </w:rPr>
        <w:t xml:space="preserve">, effective 7/12/17. </w:t>
      </w:r>
    </w:p>
    <w:p>
      <w:pPr>
        <w:spacing w:before="210" w:after="0"/>
        <w:ind w:left="120"/>
        <w:jc w:val="both"/>
      </w:pPr>
      <w:r>
        <w:rPr>
          <w:rFonts w:ascii="Times New Roman" w:hAnsi="Times New Roman"/>
          <w:b/>
          <w:i w:val="false"/>
          <w:color w:val="000000"/>
          <w:sz w:val="22"/>
        </w:rPr>
        <w:t>193D—1.8</w:t>
      </w:r>
      <w:r>
        <w:rPr>
          <w:rFonts w:ascii="Times New Roman" w:hAnsi="Times New Roman"/>
          <w:b/>
          <w:i w:val="false"/>
          <w:color w:val="000000"/>
          <w:sz w:val="22"/>
        </w:rPr>
        <w:t xml:space="preserve">(17A) </w:t>
      </w:r>
      <w:r>
        <w:rPr>
          <w:rFonts w:ascii="Times New Roman" w:hAnsi="Times New Roman"/>
          <w:b/>
          <w:i w:val="false"/>
          <w:color w:val="000000"/>
          <w:sz w:val="22"/>
        </w:rPr>
        <w:t xml:space="preserve">Declaratory orders. </w:t>
      </w:r>
      <w:r>
        <w:rPr>
          <w:rFonts w:ascii="Times New Roman" w:hAnsi="Times New Roman"/>
          <w:b w:val="false"/>
          <w:i w:val="false"/>
          <w:color w:val="000000"/>
          <w:sz w:val="22"/>
        </w:rPr>
        <w:t xml:space="preserve">Rescinded </w:t>
      </w:r>
      <w:r>
        <w:rPr>
          <w:rFonts w:ascii="Times New Roman" w:hAnsi="Times New Roman"/>
          <w:b/>
          <w:i w:val="false"/>
          <w:color w:val="000000"/>
          <w:sz w:val="22"/>
        </w:rPr>
        <w:t>ARC 3097C</w:t>
      </w:r>
      <w:r>
        <w:rPr>
          <w:rFonts w:ascii="Times New Roman" w:hAnsi="Times New Roman"/>
          <w:b w:val="false"/>
          <w:i w:val="false"/>
          <w:color w:val="000000"/>
          <w:sz w:val="22"/>
        </w:rPr>
        <w:t xml:space="preserve">, </w:t>
      </w:r>
      <w:r>
        <w:rPr>
          <w:rFonts w:ascii="Times New Roman" w:hAnsi="Times New Roman"/>
          <w:b w:val="false"/>
          <w:i w:val="false"/>
          <w:color w:val="000000"/>
          <w:sz w:val="22"/>
        </w:rPr>
        <w:t>IAB 6/7/17</w:t>
      </w:r>
      <w:r>
        <w:rPr>
          <w:rFonts w:ascii="Times New Roman" w:hAnsi="Times New Roman"/>
          <w:b w:val="false"/>
          <w:i w:val="false"/>
          <w:color w:val="000000"/>
          <w:sz w:val="22"/>
        </w:rPr>
        <w:t xml:space="preserve">, effective 7/12/17. </w:t>
      </w:r>
    </w:p>
    <w:p>
      <w:pPr>
        <w:spacing w:before="210" w:after="0"/>
        <w:ind w:left="120"/>
        <w:jc w:val="both"/>
      </w:pPr>
      <w:r>
        <w:rPr>
          <w:rFonts w:ascii="Times New Roman" w:hAnsi="Times New Roman"/>
          <w:b/>
          <w:i w:val="false"/>
          <w:color w:val="000000"/>
          <w:sz w:val="22"/>
        </w:rPr>
        <w:t>193D—1.9</w:t>
      </w:r>
      <w:r>
        <w:rPr>
          <w:rFonts w:ascii="Times New Roman" w:hAnsi="Times New Roman"/>
          <w:b/>
          <w:i w:val="false"/>
          <w:color w:val="000000"/>
          <w:sz w:val="22"/>
        </w:rPr>
        <w:t xml:space="preserve">(252J,261) </w:t>
      </w:r>
      <w:r>
        <w:rPr>
          <w:rFonts w:ascii="Times New Roman" w:hAnsi="Times New Roman"/>
          <w:b/>
          <w:i w:val="false"/>
          <w:color w:val="000000"/>
          <w:sz w:val="22"/>
        </w:rPr>
        <w:t xml:space="preserve">Denial of issuance or renewal of license for nonpayment of child support or student loan. </w:t>
      </w:r>
      <w:r>
        <w:rPr>
          <w:rFonts w:ascii="Times New Roman" w:hAnsi="Times New Roman"/>
          <w:b w:val="false"/>
          <w:i w:val="false"/>
          <w:color w:val="000000"/>
          <w:sz w:val="22"/>
        </w:rPr>
        <w:t xml:space="preserve">Rescinded </w:t>
      </w:r>
      <w:r>
        <w:rPr>
          <w:rFonts w:ascii="Times New Roman" w:hAnsi="Times New Roman"/>
          <w:b/>
          <w:i w:val="false"/>
          <w:color w:val="000000"/>
          <w:sz w:val="22"/>
        </w:rPr>
        <w:t>ARC 3097C</w:t>
      </w:r>
      <w:r>
        <w:rPr>
          <w:rFonts w:ascii="Times New Roman" w:hAnsi="Times New Roman"/>
          <w:b w:val="false"/>
          <w:i w:val="false"/>
          <w:color w:val="000000"/>
          <w:sz w:val="22"/>
        </w:rPr>
        <w:t xml:space="preserve">, </w:t>
      </w:r>
      <w:r>
        <w:rPr>
          <w:rFonts w:ascii="Times New Roman" w:hAnsi="Times New Roman"/>
          <w:b w:val="false"/>
          <w:i w:val="false"/>
          <w:color w:val="000000"/>
          <w:sz w:val="22"/>
        </w:rPr>
        <w:t>IAB 6/7/17</w:t>
      </w:r>
      <w:r>
        <w:rPr>
          <w:rFonts w:ascii="Times New Roman" w:hAnsi="Times New Roman"/>
          <w:b w:val="false"/>
          <w:i w:val="false"/>
          <w:color w:val="000000"/>
          <w:sz w:val="22"/>
        </w:rPr>
        <w:t xml:space="preserve">, effective 7/12/17. </w:t>
      </w:r>
    </w:p>
    <w:p>
      <w:pPr>
        <w:spacing w:before="0" w:after="0"/>
        <w:ind w:left="120"/>
        <w:jc w:val="both"/>
      </w:pPr>
      <w:r>
        <w:rPr>
          <w:rFonts w:ascii="Times New Roman" w:hAnsi="Times New Roman"/>
          <w:b/>
          <w:i w:val="false"/>
          <w:color w:val="000000"/>
          <w:sz w:val="22"/>
        </w:rPr>
        <w:t>193D—1.10</w:t>
      </w:r>
      <w:r>
        <w:rPr>
          <w:rFonts w:ascii="Times New Roman" w:hAnsi="Times New Roman"/>
          <w:b/>
          <w:i w:val="false"/>
          <w:color w:val="000000"/>
          <w:sz w:val="22"/>
        </w:rPr>
        <w:t xml:space="preserve">(17A) </w:t>
      </w:r>
      <w:r>
        <w:rPr>
          <w:rFonts w:ascii="Times New Roman" w:hAnsi="Times New Roman"/>
          <w:b/>
          <w:i w:val="false"/>
          <w:color w:val="000000"/>
          <w:sz w:val="22"/>
        </w:rPr>
        <w:t xml:space="preserve">Interim waivers and variances. </w:t>
      </w:r>
      <w:r>
        <w:rPr>
          <w:rFonts w:ascii="Times New Roman" w:hAnsi="Times New Roman"/>
          <w:b w:val="false"/>
          <w:i w:val="false"/>
          <w:color w:val="000000"/>
          <w:sz w:val="22"/>
        </w:rPr>
        <w:t>In addition to the provisions of 193—Chapter 5, the following shall apply for interim rulings: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1.10(1)</w:t>
      </w:r>
      <w:r>
        <w:rPr>
          <w:rFonts w:ascii="Times New Roman" w:hAnsi="Times New Roman"/>
          <w:b w:val="false"/>
          <w:i w:val="false"/>
          <w:color w:val="000000"/>
          <w:sz w:val="22"/>
        </w:rPr>
        <w:t> </w:t>
      </w:r>
      <w:r>
        <w:rPr>
          <w:rFonts w:ascii="Times New Roman" w:hAnsi="Times New Roman"/>
          <w:b w:val="false"/>
          <w:i w:val="false"/>
          <w:color w:val="000000"/>
          <w:sz w:val="22"/>
        </w:rPr>
        <w:t>The board chairperson, or vice chairperson if the chairperson is not available, may rule on a petition for waiver or variance when it would not be timely to wait for the next regularly scheduled board meeting for a ruling from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1.10(2)</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administrator shall, upon receipt of a petition that meets all applicable criteria established in </w:t>
      </w:r>
      <w:hyperlink r:id="rId9">
        <w:r>
          <w:rPr>
            <w:rStyle w:val="Hyperlink"/>
            <w:rFonts w:ascii="Times New Roman" w:hAnsi="Times New Roman"/>
            <w:b w:val="false"/>
            <w:i w:val="false"/>
            <w:color w:val="000000"/>
            <w:sz w:val="22"/>
          </w:rPr>
          <w:t>193—Chapter 5</w:t>
        </w:r>
      </w:hyperlink>
      <w:r>
        <w:rPr>
          <w:rFonts w:ascii="Times New Roman" w:hAnsi="Times New Roman"/>
          <w:b w:val="false"/>
          <w:i w:val="false"/>
          <w:color w:val="000000"/>
          <w:sz w:val="22"/>
        </w:rPr>
        <w:t>, present the request to the board chairperson or vice chairperson along with all pertinent information regarding established precedent for granting or denying such requests.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1.10(3)</w:t>
      </w:r>
      <w:r>
        <w:rPr>
          <w:rFonts w:ascii="Times New Roman" w:hAnsi="Times New Roman"/>
          <w:b w:val="false"/>
          <w:i w:val="false"/>
          <w:color w:val="000000"/>
          <w:sz w:val="22"/>
        </w:rPr>
        <w:t> </w:t>
      </w:r>
      <w:r>
        <w:rPr>
          <w:rFonts w:ascii="Times New Roman" w:hAnsi="Times New Roman"/>
          <w:b w:val="false"/>
          <w:i w:val="false"/>
          <w:color w:val="000000"/>
          <w:sz w:val="22"/>
        </w:rPr>
        <w:t>The chairperson or vice chairperson shall reserve the right to hold an electronic meeting of the board when prior board precedent does not clearly resolve the request, input of the board is deemed required and the practical result of waiting until the next regularly scheduled meeting would be a denial of the request due to timing issues.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1.10(4)</w:t>
      </w:r>
      <w:r>
        <w:rPr>
          <w:rFonts w:ascii="Times New Roman" w:hAnsi="Times New Roman"/>
          <w:b w:val="false"/>
          <w:i w:val="false"/>
          <w:color w:val="000000"/>
          <w:sz w:val="22"/>
        </w:rPr>
        <w:t> </w:t>
      </w:r>
      <w:r>
        <w:rPr>
          <w:rFonts w:ascii="Times New Roman" w:hAnsi="Times New Roman"/>
          <w:b w:val="false"/>
          <w:i w:val="false"/>
          <w:color w:val="000000"/>
          <w:sz w:val="22"/>
        </w:rPr>
        <w:t>A waiver report shall be placed on the agenda of the next regularly scheduled board meeting and recorded in the minutes of the meeting.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1.10(5)</w:t>
      </w:r>
      <w:r>
        <w:rPr>
          <w:rFonts w:ascii="Times New Roman" w:hAnsi="Times New Roman"/>
          <w:b w:val="false"/>
          <w:i w:val="false"/>
          <w:color w:val="000000"/>
          <w:sz w:val="22"/>
        </w:rPr>
        <w:t> </w:t>
      </w:r>
      <w:r>
        <w:rPr>
          <w:rFonts w:ascii="Times New Roman" w:hAnsi="Times New Roman"/>
          <w:b w:val="false"/>
          <w:i w:val="false"/>
          <w:color w:val="000000"/>
          <w:sz w:val="22"/>
        </w:rPr>
        <w:t>This rule on interim rulings does not apply if the waiver or variance was filed in a contested case.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3097C</w:t>
      </w:r>
      <w:r>
        <w:rPr>
          <w:rFonts w:ascii="Times New Roman" w:hAnsi="Times New Roman"/>
          <w:b w:val="false"/>
          <w:i w:val="false"/>
          <w:color w:val="000000"/>
          <w:sz w:val="16"/>
        </w:rPr>
        <w:t>, IAB 6/7/17, effective 7/12/17</w:t>
      </w:r>
      <w:r>
        <w:rPr>
          <w:rFonts w:ascii="Times New Roman" w:hAnsi="Times New Roman"/>
          <w:b w:val="false"/>
          <w:i w:val="false"/>
          <w:color w:val="000000"/>
          <w:sz w:val="16"/>
        </w:rPr>
        <w:t xml:space="preserve">; </w:t>
      </w:r>
      <w:r>
        <w:rPr>
          <w:rFonts w:ascii="Times New Roman" w:hAnsi="Times New Roman"/>
          <w:b/>
          <w:i w:val="false"/>
          <w:color w:val="000000"/>
          <w:sz w:val="16"/>
        </w:rPr>
        <w:t>ARC 5571C</w:t>
      </w:r>
      <w:r>
        <w:rPr>
          <w:rFonts w:ascii="Times New Roman" w:hAnsi="Times New Roman"/>
          <w:b w:val="false"/>
          <w:i w:val="false"/>
          <w:color w:val="000000"/>
          <w:sz w:val="16"/>
        </w:rPr>
        <w:t>, IAB 4/21/21, effective 5/26/21</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193D—1.11</w:t>
      </w:r>
      <w:r>
        <w:rPr>
          <w:rFonts w:ascii="Times New Roman" w:hAnsi="Times New Roman"/>
          <w:b/>
          <w:i w:val="false"/>
          <w:color w:val="000000"/>
          <w:sz w:val="22"/>
        </w:rPr>
        <w:t xml:space="preserve">(544B,17A,272C) </w:t>
      </w:r>
      <w:r>
        <w:rPr>
          <w:rFonts w:ascii="Times New Roman" w:hAnsi="Times New Roman"/>
          <w:b/>
          <w:i w:val="false"/>
          <w:color w:val="000000"/>
          <w:sz w:val="22"/>
        </w:rPr>
        <w:t xml:space="preserve">Investigations and investigatory subpoenas. </w:t>
      </w:r>
      <w:r>
        <w:rPr>
          <w:rFonts w:ascii="Times New Roman" w:hAnsi="Times New Roman"/>
          <w:b w:val="false"/>
          <w:i w:val="false"/>
          <w:color w:val="000000"/>
          <w:sz w:val="22"/>
        </w:rPr>
        <w:t xml:space="preserve">Rescinded </w:t>
      </w:r>
      <w:r>
        <w:rPr>
          <w:rFonts w:ascii="Times New Roman" w:hAnsi="Times New Roman"/>
          <w:b/>
          <w:i w:val="false"/>
          <w:color w:val="000000"/>
          <w:sz w:val="22"/>
        </w:rPr>
        <w:t>ARC 3097C</w:t>
      </w:r>
      <w:r>
        <w:rPr>
          <w:rFonts w:ascii="Times New Roman" w:hAnsi="Times New Roman"/>
          <w:b w:val="false"/>
          <w:i w:val="false"/>
          <w:color w:val="000000"/>
          <w:sz w:val="22"/>
        </w:rPr>
        <w:t xml:space="preserve">, </w:t>
      </w:r>
      <w:r>
        <w:rPr>
          <w:rFonts w:ascii="Times New Roman" w:hAnsi="Times New Roman"/>
          <w:b w:val="false"/>
          <w:i w:val="false"/>
          <w:color w:val="000000"/>
          <w:sz w:val="22"/>
        </w:rPr>
        <w:t>IAB 6/7/17</w:t>
      </w:r>
      <w:r>
        <w:rPr>
          <w:rFonts w:ascii="Times New Roman" w:hAnsi="Times New Roman"/>
          <w:b w:val="false"/>
          <w:i w:val="false"/>
          <w:color w:val="000000"/>
          <w:sz w:val="22"/>
        </w:rPr>
        <w:t xml:space="preserve">, effective 7/12/17. </w:t>
      </w:r>
    </w:p>
    <w:p>
      <w:pPr>
        <w:spacing w:before="210" w:after="0"/>
        <w:ind w:left="120"/>
        <w:jc w:val="both"/>
      </w:pPr>
      <w:r>
        <w:rPr>
          <w:rFonts w:ascii="Times New Roman" w:hAnsi="Times New Roman"/>
          <w:b/>
          <w:i w:val="false"/>
          <w:color w:val="000000"/>
          <w:sz w:val="22"/>
        </w:rPr>
        <w:t>193D—1.12</w:t>
      </w:r>
      <w:r>
        <w:rPr>
          <w:rFonts w:ascii="Times New Roman" w:hAnsi="Times New Roman"/>
          <w:b/>
          <w:i w:val="false"/>
          <w:color w:val="000000"/>
          <w:sz w:val="22"/>
        </w:rPr>
        <w:t xml:space="preserve">(544B,17A,272C) </w:t>
      </w:r>
      <w:r>
        <w:rPr>
          <w:rFonts w:ascii="Times New Roman" w:hAnsi="Times New Roman"/>
          <w:b/>
          <w:i w:val="false"/>
          <w:color w:val="000000"/>
          <w:sz w:val="22"/>
        </w:rPr>
        <w:t xml:space="preserve">Contested case procedures. </w:t>
      </w:r>
      <w:r>
        <w:rPr>
          <w:rFonts w:ascii="Times New Roman" w:hAnsi="Times New Roman"/>
          <w:b w:val="false"/>
          <w:i w:val="false"/>
          <w:color w:val="000000"/>
          <w:sz w:val="22"/>
        </w:rPr>
        <w:t xml:space="preserve">Rescinded </w:t>
      </w:r>
      <w:r>
        <w:rPr>
          <w:rFonts w:ascii="Times New Roman" w:hAnsi="Times New Roman"/>
          <w:b/>
          <w:i w:val="false"/>
          <w:color w:val="000000"/>
          <w:sz w:val="22"/>
        </w:rPr>
        <w:t>ARC 3097C</w:t>
      </w:r>
      <w:r>
        <w:rPr>
          <w:rFonts w:ascii="Times New Roman" w:hAnsi="Times New Roman"/>
          <w:b w:val="false"/>
          <w:i w:val="false"/>
          <w:color w:val="000000"/>
          <w:sz w:val="22"/>
        </w:rPr>
        <w:t xml:space="preserve">, </w:t>
      </w:r>
      <w:r>
        <w:rPr>
          <w:rFonts w:ascii="Times New Roman" w:hAnsi="Times New Roman"/>
          <w:b w:val="false"/>
          <w:i w:val="false"/>
          <w:color w:val="000000"/>
          <w:sz w:val="22"/>
        </w:rPr>
        <w:t>IAB 6/7/17</w:t>
      </w:r>
      <w:r>
        <w:rPr>
          <w:rFonts w:ascii="Times New Roman" w:hAnsi="Times New Roman"/>
          <w:b w:val="false"/>
          <w:i w:val="false"/>
          <w:color w:val="000000"/>
          <w:sz w:val="22"/>
        </w:rPr>
        <w:t xml:space="preserve">, effective 7/12/17. </w:t>
      </w:r>
    </w:p>
    <w:p>
      <w:pPr>
        <w:spacing w:before="210" w:after="0"/>
        <w:ind w:left="120"/>
        <w:jc w:val="both"/>
      </w:pPr>
      <w:r>
        <w:rPr>
          <w:rFonts w:ascii="Times New Roman" w:hAnsi="Times New Roman"/>
          <w:b/>
          <w:i w:val="false"/>
          <w:color w:val="000000"/>
          <w:sz w:val="22"/>
        </w:rPr>
        <w:t>193D—1.13</w:t>
      </w:r>
      <w:r>
        <w:rPr>
          <w:rFonts w:ascii="Times New Roman" w:hAnsi="Times New Roman"/>
          <w:b/>
          <w:i w:val="false"/>
          <w:color w:val="000000"/>
          <w:sz w:val="22"/>
        </w:rPr>
        <w:t xml:space="preserve">(272C) </w:t>
      </w:r>
      <w:r>
        <w:rPr>
          <w:rFonts w:ascii="Times New Roman" w:hAnsi="Times New Roman"/>
          <w:b/>
          <w:i w:val="false"/>
          <w:color w:val="000000"/>
          <w:sz w:val="22"/>
        </w:rPr>
        <w:t xml:space="preserve">Impaired licensees. </w:t>
      </w:r>
      <w:r>
        <w:rPr>
          <w:rFonts w:ascii="Times New Roman" w:hAnsi="Times New Roman"/>
          <w:b w:val="false"/>
          <w:i w:val="false"/>
          <w:color w:val="000000"/>
          <w:sz w:val="22"/>
        </w:rPr>
        <w:t xml:space="preserve">Rescinded </w:t>
      </w:r>
      <w:r>
        <w:rPr>
          <w:rFonts w:ascii="Times New Roman" w:hAnsi="Times New Roman"/>
          <w:b/>
          <w:i w:val="false"/>
          <w:color w:val="000000"/>
          <w:sz w:val="22"/>
        </w:rPr>
        <w:t>ARC 3097C</w:t>
      </w:r>
      <w:r>
        <w:rPr>
          <w:rFonts w:ascii="Times New Roman" w:hAnsi="Times New Roman"/>
          <w:b w:val="false"/>
          <w:i w:val="false"/>
          <w:color w:val="000000"/>
          <w:sz w:val="22"/>
        </w:rPr>
        <w:t xml:space="preserve">, </w:t>
      </w:r>
      <w:r>
        <w:rPr>
          <w:rFonts w:ascii="Times New Roman" w:hAnsi="Times New Roman"/>
          <w:b w:val="false"/>
          <w:i w:val="false"/>
          <w:color w:val="000000"/>
          <w:sz w:val="22"/>
        </w:rPr>
        <w:t>IAB 6/7/17</w:t>
      </w:r>
      <w:r>
        <w:rPr>
          <w:rFonts w:ascii="Times New Roman" w:hAnsi="Times New Roman"/>
          <w:b w:val="false"/>
          <w:i w:val="false"/>
          <w:color w:val="000000"/>
          <w:sz w:val="22"/>
        </w:rPr>
        <w:t xml:space="preserve">, effective 7/12/17. </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10">
        <w:r>
          <w:rPr>
            <w:rStyle w:val="Hyperlink"/>
            <w:rFonts w:ascii="Times New Roman" w:hAnsi="Times New Roman"/>
            <w:b w:val="false"/>
            <w:i w:val="false"/>
            <w:color w:val="000000"/>
            <w:sz w:val="22"/>
          </w:rPr>
          <w:t>544B.3</w:t>
        </w:r>
      </w:hyperlink>
      <w:r>
        <w:rPr>
          <w:rFonts w:ascii="Times New Roman" w:hAnsi="Times New Roman"/>
          <w:b w:val="false"/>
          <w:i w:val="false"/>
          <w:color w:val="000000"/>
          <w:sz w:val="22"/>
        </w:rPr>
        <w:t xml:space="preserve">, </w:t>
      </w:r>
      <w:hyperlink r:id="rId11">
        <w:r>
          <w:rPr>
            <w:rStyle w:val="Hyperlink"/>
            <w:rFonts w:ascii="Times New Roman" w:hAnsi="Times New Roman"/>
            <w:b w:val="false"/>
            <w:i w:val="false"/>
            <w:color w:val="000000"/>
            <w:sz w:val="22"/>
          </w:rPr>
          <w:t>544B.5</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544B.15</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2/2/76, Notice 12/29/75—published 2/9/76, effective 2/2/76]</w:t>
      </w:r>
    </w:p>
    <w:p>
      <w:pPr>
        <w:spacing w:before="0" w:after="0"/>
        <w:ind w:left="120"/>
        <w:jc w:val="center"/>
      </w:pPr>
      <w:r>
        <w:rPr>
          <w:rFonts w:ascii="Times New Roman" w:hAnsi="Times New Roman"/>
          <w:b w:val="false"/>
          <w:i w:val="false"/>
          <w:color w:val="000000"/>
          <w:sz w:val="21"/>
        </w:rPr>
        <w:t>[Filed emergency 4/14/78—published 5/3/78, effective 4/14/78]</w:t>
      </w:r>
    </w:p>
    <w:p>
      <w:pPr>
        <w:spacing w:before="0" w:after="0"/>
        <w:ind w:left="120"/>
        <w:jc w:val="center"/>
      </w:pPr>
      <w:r>
        <w:rPr>
          <w:rFonts w:ascii="Times New Roman" w:hAnsi="Times New Roman"/>
          <w:b w:val="false"/>
          <w:i w:val="false"/>
          <w:color w:val="000000"/>
          <w:sz w:val="21"/>
        </w:rPr>
        <w:t>[Filed 12/2/83, Notice 10/26/83—published 12/21/83, effective 1/25/84]</w:t>
      </w:r>
    </w:p>
    <w:p>
      <w:pPr>
        <w:spacing w:before="0" w:after="0"/>
        <w:ind w:left="120"/>
        <w:jc w:val="center"/>
      </w:pPr>
      <w:r>
        <w:rPr>
          <w:rFonts w:ascii="Times New Roman" w:hAnsi="Times New Roman"/>
          <w:b w:val="false"/>
          <w:i w:val="false"/>
          <w:color w:val="000000"/>
          <w:sz w:val="21"/>
        </w:rPr>
        <w:t>[Filed 2/18/88, Notice 12/16/87—published 3/9/88, effective 4/13/88]</w:t>
      </w:r>
    </w:p>
    <w:p>
      <w:pPr>
        <w:spacing w:before="0" w:after="0"/>
        <w:ind w:left="120"/>
        <w:jc w:val="center"/>
      </w:pPr>
      <w:r>
        <w:rPr>
          <w:rFonts w:ascii="Times New Roman" w:hAnsi="Times New Roman"/>
          <w:b w:val="false"/>
          <w:i w:val="false"/>
          <w:color w:val="000000"/>
          <w:sz w:val="21"/>
        </w:rPr>
        <w:t>[Filed without Notice 2/18/88—published 3/9/88, effective 4/13/88]</w:t>
      </w:r>
    </w:p>
    <w:p>
      <w:pPr>
        <w:spacing w:before="0" w:after="0"/>
        <w:ind w:left="120"/>
        <w:jc w:val="center"/>
      </w:pPr>
      <w:r>
        <w:rPr>
          <w:rFonts w:ascii="Times New Roman" w:hAnsi="Times New Roman"/>
          <w:b w:val="false"/>
          <w:i w:val="false"/>
          <w:color w:val="000000"/>
          <w:sz w:val="21"/>
        </w:rPr>
        <w:t>[Filed 10/16/95, Notice 8/2/95—published 11/8/95, effective 12/13/95]</w:t>
      </w:r>
    </w:p>
    <w:p>
      <w:pPr>
        <w:spacing w:before="0" w:after="0"/>
        <w:ind w:left="120"/>
        <w:jc w:val="center"/>
      </w:pPr>
      <w:r>
        <w:rPr>
          <w:rFonts w:ascii="Times New Roman" w:hAnsi="Times New Roman"/>
          <w:b w:val="false"/>
          <w:i w:val="false"/>
          <w:color w:val="000000"/>
          <w:sz w:val="21"/>
        </w:rPr>
        <w:t>[Filed 4/30/99, Notice 3/24/99—published 5/19/99, effective 6/23/99]</w:t>
      </w:r>
    </w:p>
    <w:p>
      <w:pPr>
        <w:spacing w:before="0" w:after="0"/>
        <w:ind w:left="120"/>
        <w:jc w:val="center"/>
      </w:pPr>
      <w:r>
        <w:rPr>
          <w:rFonts w:ascii="Times New Roman" w:hAnsi="Times New Roman"/>
          <w:b w:val="false"/>
          <w:i w:val="false"/>
          <w:color w:val="000000"/>
          <w:sz w:val="21"/>
        </w:rPr>
        <w:t>[Filed 12/19/01, Notice 11/14/01—published 1/9/02, effective 2/13/02]</w:t>
      </w:r>
    </w:p>
    <w:p>
      <w:pPr>
        <w:spacing w:before="0" w:after="0"/>
        <w:ind w:left="120"/>
        <w:jc w:val="center"/>
      </w:pPr>
      <w:r>
        <w:rPr>
          <w:rFonts w:ascii="Times New Roman" w:hAnsi="Times New Roman"/>
          <w:b w:val="false"/>
          <w:i w:val="false"/>
          <w:color w:val="000000"/>
          <w:sz w:val="21"/>
        </w:rPr>
        <w:t>[Filed 7/24/03, Notice 5/14/03—published 8/20/03, effective 9/24/03]</w:t>
      </w:r>
    </w:p>
    <w:p>
      <w:pPr>
        <w:spacing w:before="0" w:after="0"/>
        <w:ind w:left="120"/>
        <w:jc w:val="center"/>
      </w:pPr>
      <w:r>
        <w:rPr>
          <w:rFonts w:ascii="Times New Roman" w:hAnsi="Times New Roman"/>
          <w:b w:val="false"/>
          <w:i w:val="false"/>
          <w:color w:val="000000"/>
          <w:sz w:val="21"/>
        </w:rPr>
        <w:t>[Filed ARC 0213C</w:t>
      </w:r>
      <w:r>
        <w:rPr>
          <w:rFonts w:ascii="Times New Roman" w:hAnsi="Times New Roman"/>
          <w:b w:val="false"/>
          <w:i w:val="false"/>
          <w:color w:val="000000"/>
          <w:sz w:val="21"/>
        </w:rPr>
        <w:t xml:space="preserve"> (Notice ARC 0086C, IAB 4/18/12)</w:t>
      </w:r>
      <w:r>
        <w:rPr>
          <w:rFonts w:ascii="Times New Roman" w:hAnsi="Times New Roman"/>
          <w:b w:val="false"/>
          <w:i w:val="false"/>
          <w:color w:val="000000"/>
          <w:sz w:val="21"/>
        </w:rPr>
        <w:t>, IAB 7/25/12, effective 8/29/12]</w:t>
      </w:r>
    </w:p>
    <w:p>
      <w:pPr>
        <w:spacing w:before="0" w:after="0"/>
        <w:ind w:left="120"/>
        <w:jc w:val="center"/>
      </w:pPr>
      <w:r>
        <w:rPr>
          <w:rFonts w:ascii="Times New Roman" w:hAnsi="Times New Roman"/>
          <w:b w:val="false"/>
          <w:i w:val="false"/>
          <w:color w:val="000000"/>
          <w:sz w:val="21"/>
        </w:rPr>
        <w:t>[Filed ARC 3097C</w:t>
      </w:r>
      <w:r>
        <w:rPr>
          <w:rFonts w:ascii="Times New Roman" w:hAnsi="Times New Roman"/>
          <w:b w:val="false"/>
          <w:i w:val="false"/>
          <w:color w:val="000000"/>
          <w:sz w:val="21"/>
        </w:rPr>
        <w:t xml:space="preserve"> (Notice ARC 2941C, IAB 2/15/17)</w:t>
      </w:r>
      <w:r>
        <w:rPr>
          <w:rFonts w:ascii="Times New Roman" w:hAnsi="Times New Roman"/>
          <w:b w:val="false"/>
          <w:i w:val="false"/>
          <w:color w:val="000000"/>
          <w:sz w:val="21"/>
        </w:rPr>
        <w:t>, IAB 6/7/17, effective 7/12/17]</w:t>
      </w:r>
    </w:p>
    <w:p>
      <w:pPr>
        <w:spacing w:before="0" w:after="0"/>
        <w:ind w:left="120"/>
        <w:jc w:val="center"/>
      </w:pPr>
      <w:r>
        <w:rPr>
          <w:rFonts w:ascii="Times New Roman" w:hAnsi="Times New Roman"/>
          <w:b w:val="false"/>
          <w:i w:val="false"/>
          <w:color w:val="000000"/>
          <w:sz w:val="21"/>
        </w:rPr>
        <w:t>[Filed ARC 5571C</w:t>
      </w:r>
      <w:r>
        <w:rPr>
          <w:rFonts w:ascii="Times New Roman" w:hAnsi="Times New Roman"/>
          <w:b w:val="false"/>
          <w:i w:val="false"/>
          <w:color w:val="000000"/>
          <w:sz w:val="21"/>
        </w:rPr>
        <w:t xml:space="preserve"> (Notice ARC 5430C, IAB 2/10/21)</w:t>
      </w:r>
      <w:r>
        <w:rPr>
          <w:rFonts w:ascii="Times New Roman" w:hAnsi="Times New Roman"/>
          <w:b w:val="false"/>
          <w:i w:val="false"/>
          <w:color w:val="000000"/>
          <w:sz w:val="21"/>
        </w:rPr>
        <w:t>, IAB 4/21/21, effective 5/26/21]</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44B.1.pdf" Type="http://schemas.openxmlformats.org/officeDocument/2006/relationships/hyperlink" Id="rId5"/>
    <Relationship TargetMode="External" Target="https://www.legis.iowa.gov/docs/ico/chapter/544B.pdf" Type="http://schemas.openxmlformats.org/officeDocument/2006/relationships/hyperlink" Id="rId6"/>
    <Relationship TargetMode="External" Target="https://www.legis.iowa.gov/docs/ico/chapter/544B.pdf" Type="http://schemas.openxmlformats.org/officeDocument/2006/relationships/hyperlink" Id="rId7"/>
    <Relationship TargetMode="External" Target="https://www.legis.iowa.gov/docs/ico/chapter/21.4.pdf" Type="http://schemas.openxmlformats.org/officeDocument/2006/relationships/hyperlink" Id="rId8"/>
    <Relationship TargetMode="External" Target="https://www.legis.iowa.gov/docs/iac/chapter/193.5.pdf" Type="http://schemas.openxmlformats.org/officeDocument/2006/relationships/hyperlink" Id="rId9"/>
    <Relationship TargetMode="External" Target="https://www.legis.iowa.gov/docs/ico/chapter/544B.3.pdf" Type="http://schemas.openxmlformats.org/officeDocument/2006/relationships/hyperlink" Id="rId10"/>
    <Relationship TargetMode="External" Target="https://www.legis.iowa.gov/docs/ico/chapter/544B.5.pdf" Type="http://schemas.openxmlformats.org/officeDocument/2006/relationships/hyperlink" Id="rId11"/>
    <Relationship TargetMode="External" Target="https://www.legis.iowa.gov/docs/ico/chapter/544B.15.pdf" Type="http://schemas.openxmlformats.org/officeDocument/2006/relationships/hyperlink" Id="rId1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