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PROFESSIONAL DEVELOPMENT</w:t>
      </w:r>
    </w:p>
    <w:p>
      <w:pPr>
        <w:spacing w:before="0" w:after="0"/>
        <w:ind w:left="120"/>
        <w:jc w:val="center"/>
      </w:pPr>
      <w:r>
        <w:rPr>
          <w:rFonts w:ascii="Times New Roman" w:hAnsi="Times New Roman"/>
          <w:b w:val="false"/>
          <w:i w:val="false"/>
          <w:color w:val="000000"/>
          <w:sz w:val="14"/>
        </w:rPr>
        <w:t>[Prior to 11/14/01, see 193C—Chapter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193C—7.1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Completion of continuing education for professional development is a condition of licensure renewal for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“College or unit semester or quarter hour” </w:t>
      </w:r>
      <w:r>
        <w:rPr>
          <w:rFonts w:ascii="Times New Roman" w:hAnsi="Times New Roman"/>
          <w:b w:val="false"/>
          <w:i w:val="false"/>
          <w:color w:val="000000"/>
          <w:sz w:val="22"/>
        </w:rPr>
        <w:t>means the unit of credit given for advanced technical and graduate courses from universities with programs accredited by the Engineering Accreditation Commission of the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other related college course qualified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obtained by a licensee in order to maintain, improve, or expand skills and knowledge obtained prior to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 (CEU)” </w:t>
      </w:r>
      <w:r>
        <w:rPr>
          <w:rFonts w:ascii="Times New Roman" w:hAnsi="Times New Roman"/>
          <w:b w:val="false"/>
          <w:i w:val="false"/>
          <w:color w:val="000000"/>
          <w:sz w:val="22"/>
        </w:rPr>
        <w:t>means the unit of credit customarily granted for continuing education courses. One continuing education unit is given for ten hours of class in an approved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or activity” </w:t>
      </w:r>
      <w:r>
        <w:rPr>
          <w:rFonts w:ascii="Times New Roman" w:hAnsi="Times New Roman"/>
          <w:b w:val="false"/>
          <w:i w:val="false"/>
          <w:color w:val="000000"/>
          <w:sz w:val="22"/>
        </w:rPr>
        <w:t>means any qualifying course or activity with a clear purpose and objective that will maintain, improve, or expand the skills and knowledge relevant to the licensee’s field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any course or activity in which there is no real-time interaction between the training provider and the licensee, such as courses offered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hour”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“PDH” </w:t>
      </w:r>
      <w:r>
        <w:rPr>
          <w:rFonts w:ascii="Times New Roman" w:hAnsi="Times New Roman"/>
          <w:b w:val="false"/>
          <w:i w:val="false"/>
          <w:color w:val="000000"/>
          <w:sz w:val="22"/>
        </w:rPr>
        <w:t>means a contact hour of instruction or presentation and is the common denominator for other units of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Licensees may earn professional development hours by participating in a variety of activities. The following is a list of allowable activities and is not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college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correspondence, televised, videotaped, and other short courses or tutorials;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courses online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Active participation in seminars, in-house courses, workshops, technical committees of professional engineering organizations, and professional conventions;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Teaching or instructing in the activities set forth above if such teaching or instruction is outside of the licensee’s regular employment duties and if the licensee can document that such teaching activity or instruction was newly developed and presented for the first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Authoring published papers, articles or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patents;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online video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Participation on an NCEES examination development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Attendance at engineering college graduate research seminars.</w:t>
      </w:r>
    </w:p>
    <w:p>
      <w:pPr>
        <w:spacing w:before="0" w:after="0"/>
        <w:ind w:left="120"/>
        <w:jc w:val="both"/>
      </w:pPr>
      <w:r>
        <w:rPr>
          <w:rFonts w:ascii="Times New Roman" w:hAnsi="Times New Roman"/>
          <w:b w:val="false"/>
          <w:i w:val="false"/>
          <w:color w:val="000000"/>
          <w:sz w:val="22"/>
        </w:rPr>
        <w:t>All of the allowable activities listed above must adhere to this chapter to be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PDH conversion. </w:t>
      </w:r>
      <w:r>
        <w:rPr>
          <w:rFonts w:ascii="Times New Roman" w:hAnsi="Times New Roman"/>
          <w:b w:val="false"/>
          <w:i w:val="false"/>
          <w:color w:val="000000"/>
          <w:sz w:val="22"/>
        </w:rPr>
        <w:t>The following chart illustrates the conversion from other units to PDH:</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571"/>
        <w:gridCol w:w="2618"/>
      </w:tblGrid>
      <w:tr>
        <w:trPr>
          <w:trHeight w:val="22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ACTIVITY</w:t>
            </w:r>
          </w:p>
        </w:tc>
        <w:tc>
          <w:tcPr>
            <w:tcW w:w="26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PDH</w:t>
            </w:r>
          </w:p>
        </w:tc>
      </w:tr>
      <w:tr>
        <w:trPr>
          <w:trHeight w:val="58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College or unit semester hour.</w:t>
            </w:r>
          </w:p>
          <w:p>
            <w:pPr>
              <w:spacing w:before="0" w:after="0"/>
              <w:ind w:left="160"/>
              <w:jc w:val="left"/>
            </w:pPr>
            <w:r>
              <w:rPr>
                <w:rFonts w:ascii="Times New Roman" w:hAnsi="Times New Roman"/>
                <w:b w:val="false"/>
                <w:i w:val="false"/>
                <w:color w:val="000000"/>
                <w:sz w:val="16"/>
              </w:rPr>
              <w:t>Credit for qualifying college or community college courses will be based upon course credit established by the college.</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45 PDH</w:t>
            </w:r>
          </w:p>
          <w:p>
            <w:pPr>
              <w:spacing w:before="0" w:after="0"/>
              <w:ind w:left="160"/>
              <w:jc w:val="center"/>
            </w:pPr>
            <w:r>
              <w:rPr>
                <w:rFonts w:ascii="Times New Roman" w:hAnsi="Times New Roman"/>
                <w:b w:val="false"/>
                <w:i w:val="false"/>
                <w:color w:val="000000"/>
                <w:sz w:val="16"/>
              </w:rPr>
              <w:t>per semester hour</w:t>
            </w:r>
          </w:p>
        </w:tc>
      </w:tr>
      <w:tr>
        <w:trPr>
          <w:trHeight w:val="58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College or unit quarter hour.</w:t>
            </w:r>
          </w:p>
          <w:p>
            <w:pPr>
              <w:spacing w:before="0" w:after="0"/>
              <w:ind w:left="160"/>
              <w:jc w:val="left"/>
            </w:pPr>
            <w:r>
              <w:rPr>
                <w:rFonts w:ascii="Times New Roman" w:hAnsi="Times New Roman"/>
                <w:b w:val="false"/>
                <w:i w:val="false"/>
                <w:color w:val="000000"/>
                <w:sz w:val="16"/>
              </w:rPr>
              <w:t>Credit for qualifying college or community college courses will be based upon course credit established by the college.</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30 PDH</w:t>
            </w:r>
          </w:p>
          <w:p>
            <w:pPr>
              <w:spacing w:before="0" w:after="0"/>
              <w:ind w:left="160"/>
              <w:jc w:val="center"/>
            </w:pPr>
            <w:r>
              <w:rPr>
                <w:rFonts w:ascii="Times New Roman" w:hAnsi="Times New Roman"/>
                <w:b w:val="false"/>
                <w:i w:val="false"/>
                <w:color w:val="000000"/>
                <w:sz w:val="16"/>
              </w:rPr>
              <w:t>per quarter hour</w:t>
            </w:r>
          </w:p>
        </w:tc>
      </w:tr>
      <w:tr>
        <w:trPr>
          <w:trHeight w:val="22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 Continuing education unit as defined in rule </w:t>
            </w:r>
            <w:hyperlink r:id="rId5">
              <w:r>
                <w:rPr>
                  <w:rStyle w:val="Hyperlink"/>
                  <w:rFonts w:ascii="Times New Roman" w:hAnsi="Times New Roman"/>
                  <w:b w:val="false"/>
                  <w:i w:val="false"/>
                  <w:color w:val="000000"/>
                  <w:sz w:val="16"/>
                </w:rPr>
                <w:t>193C—7.2</w:t>
              </w:r>
            </w:hyperlink>
            <w:r>
              <w:rPr>
                <w:rFonts w:ascii="Times New Roman" w:hAnsi="Times New Roman"/>
                <w:b w:val="false"/>
                <w:i w:val="false"/>
                <w:color w:val="000000"/>
                <w:sz w:val="16"/>
              </w:rPr>
              <w:t>(542B,272C).</w:t>
            </w:r>
          </w:p>
        </w:tc>
        <w:tc>
          <w:tcPr>
            <w:tcW w:w="26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PDH</w:t>
            </w:r>
          </w:p>
        </w:tc>
      </w:tr>
      <w:tr>
        <w:trPr>
          <w:trHeight w:val="94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Contact hour attendance in a class, course, seminar, or professional or technical presentation made at a meeting, in-house training session, convention or conference. Credit for qualifying seminars and workshops will be based on 1 PDH unit for each hour of attendance. Attendance at qualifying programs presented at professional or technical society meetings will earn PDH units for the actual time of each program, excluding time for breaks and meals.</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 PDH</w:t>
            </w:r>
          </w:p>
          <w:p>
            <w:pPr>
              <w:spacing w:before="0" w:after="0"/>
              <w:ind w:left="160"/>
              <w:jc w:val="center"/>
            </w:pPr>
            <w:r>
              <w:rPr>
                <w:rFonts w:ascii="Times New Roman" w:hAnsi="Times New Roman"/>
                <w:b w:val="false"/>
                <w:i w:val="false"/>
                <w:color w:val="000000"/>
                <w:sz w:val="16"/>
              </w:rPr>
              <w:t>per hour</w:t>
            </w:r>
          </w:p>
        </w:tc>
      </w:tr>
      <w:tr>
        <w:trPr>
          <w:trHeight w:val="76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Contact hour teaching a class, course, seminar, or a professional or technical presentation.</w:t>
            </w:r>
          </w:p>
          <w:p>
            <w:pPr>
              <w:spacing w:before="0" w:after="0"/>
              <w:ind w:left="160"/>
              <w:jc w:val="left"/>
            </w:pPr>
            <w:r>
              <w:rPr>
                <w:rFonts w:ascii="Times New Roman" w:hAnsi="Times New Roman"/>
                <w:b w:val="false"/>
                <w:i w:val="false"/>
                <w:color w:val="000000"/>
                <w:sz w:val="16"/>
              </w:rPr>
              <w:t>a. Teaching credit is valid for teaching a course or seminar for the first time only.</w:t>
            </w:r>
          </w:p>
          <w:p>
            <w:pPr>
              <w:spacing w:before="0" w:after="0"/>
              <w:ind w:left="160"/>
              <w:jc w:val="left"/>
            </w:pPr>
            <w:r>
              <w:rPr>
                <w:rFonts w:ascii="Times New Roman" w:hAnsi="Times New Roman"/>
                <w:b w:val="false"/>
                <w:i w:val="false"/>
                <w:color w:val="000000"/>
                <w:sz w:val="16"/>
              </w:rPr>
              <w:t>b. Teaching credit does not apply to full-time faculty.</w:t>
            </w:r>
          </w:p>
          <w:p>
            <w:pPr>
              <w:spacing w:before="0" w:after="0"/>
              <w:ind w:left="160"/>
              <w:jc w:val="left"/>
            </w:pPr>
            <w:r>
              <w:rPr>
                <w:rFonts w:ascii="Times New Roman" w:hAnsi="Times New Roman"/>
                <w:b w:val="false"/>
                <w:i w:val="false"/>
                <w:color w:val="000000"/>
                <w:sz w:val="16"/>
              </w:rPr>
              <w:t>c. Teaching credit is limited to 10 PDH per biennial renewal period.</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 PDH</w:t>
            </w:r>
          </w:p>
          <w:p>
            <w:pPr>
              <w:spacing w:before="0" w:after="0"/>
              <w:ind w:left="160"/>
              <w:jc w:val="center"/>
            </w:pPr>
            <w:r>
              <w:rPr>
                <w:rFonts w:ascii="Times New Roman" w:hAnsi="Times New Roman"/>
                <w:b w:val="false"/>
                <w:i w:val="false"/>
                <w:color w:val="000000"/>
                <w:sz w:val="16"/>
              </w:rPr>
              <w:t>per hour</w:t>
            </w:r>
          </w:p>
        </w:tc>
      </w:tr>
      <w:tr>
        <w:trPr>
          <w:trHeight w:val="40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Each published paper, article, or book.</w:t>
            </w:r>
          </w:p>
          <w:p>
            <w:pPr>
              <w:spacing w:before="0" w:after="0"/>
              <w:ind w:left="160"/>
              <w:jc w:val="left"/>
            </w:pPr>
            <w:r>
              <w:rPr>
                <w:rFonts w:ascii="Times New Roman" w:hAnsi="Times New Roman"/>
                <w:b w:val="false"/>
                <w:i w:val="false"/>
                <w:color w:val="000000"/>
                <w:sz w:val="16"/>
              </w:rPr>
              <w:t>Credit for published material is earned in the biennium of publication.</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10 PDH</w:t>
            </w:r>
          </w:p>
          <w:p>
            <w:pPr>
              <w:spacing w:before="0" w:after="0"/>
              <w:ind w:left="160"/>
              <w:jc w:val="center"/>
            </w:pPr>
            <w:r>
              <w:rPr>
                <w:rFonts w:ascii="Times New Roman" w:hAnsi="Times New Roman"/>
                <w:b w:val="false"/>
                <w:i w:val="false"/>
                <w:color w:val="000000"/>
                <w:sz w:val="16"/>
              </w:rPr>
              <w:t>per publication</w:t>
            </w:r>
          </w:p>
        </w:tc>
      </w:tr>
      <w:tr>
        <w:trPr>
          <w:trHeight w:val="94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Active participation in a professional or technical society.</w:t>
            </w:r>
          </w:p>
          <w:p>
            <w:pPr>
              <w:spacing w:before="0" w:after="0"/>
              <w:ind w:left="160"/>
              <w:jc w:val="left"/>
            </w:pPr>
            <w:r>
              <w:rPr>
                <w:rFonts w:ascii="Times New Roman" w:hAnsi="Times New Roman"/>
                <w:b w:val="false"/>
                <w:i w:val="false"/>
                <w:color w:val="000000"/>
                <w:sz w:val="16"/>
              </w:rPr>
              <w:t>Credit for active participation in professional and technical societies is limited to 2 PDH per renewal period per organization and requires that a licensee serve as an officer or actively participate in a committee of the organization. PDH credits are earned for a minimum of one year’s service.</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 PDH</w:t>
            </w:r>
          </w:p>
          <w:p>
            <w:pPr>
              <w:spacing w:before="0" w:after="0"/>
              <w:ind w:left="160"/>
              <w:jc w:val="center"/>
            </w:pPr>
            <w:r>
              <w:rPr>
                <w:rFonts w:ascii="Times New Roman" w:hAnsi="Times New Roman"/>
                <w:b w:val="false"/>
                <w:i w:val="false"/>
                <w:color w:val="000000"/>
                <w:sz w:val="16"/>
              </w:rPr>
              <w:t>per organization per renewal period</w:t>
            </w:r>
          </w:p>
        </w:tc>
      </w:tr>
      <w:tr>
        <w:trPr>
          <w:trHeight w:val="40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Each patent.</w:t>
            </w:r>
          </w:p>
          <w:p>
            <w:pPr>
              <w:spacing w:before="0" w:after="0"/>
              <w:ind w:left="160"/>
              <w:jc w:val="left"/>
            </w:pPr>
            <w:r>
              <w:rPr>
                <w:rFonts w:ascii="Times New Roman" w:hAnsi="Times New Roman"/>
                <w:b w:val="false"/>
                <w:i w:val="false"/>
                <w:color w:val="000000"/>
                <w:sz w:val="16"/>
              </w:rPr>
              <w:t>Credit for patents is earned in the biennium the patent is issued.</w:t>
            </w:r>
          </w:p>
        </w:tc>
        <w:tc>
          <w:tcPr>
            <w:tcW w:w="2618"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10 PDH</w:t>
            </w:r>
          </w:p>
          <w:p>
            <w:pPr>
              <w:spacing w:before="0" w:after="0"/>
              <w:ind w:left="160"/>
              <w:jc w:val="center"/>
            </w:pPr>
            <w:r>
              <w:rPr>
                <w:rFonts w:ascii="Times New Roman" w:hAnsi="Times New Roman"/>
                <w:b w:val="false"/>
                <w:i w:val="false"/>
                <w:color w:val="000000"/>
                <w:sz w:val="16"/>
              </w:rPr>
              <w:t>per patent</w:t>
            </w:r>
          </w:p>
        </w:tc>
      </w:tr>
      <w:tr>
        <w:trPr>
          <w:trHeight w:val="945" w:hRule="atLeast"/>
        </w:trPr>
        <w:tc>
          <w:tcPr>
            <w:tcW w:w="8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Participation on an NCEES examination development committee or Iowa State Specific Land Surveying examination development committee, including the writing and grading of examination questions, writing reference materials for examinations, and evaluating past examination question performance. Licensees may claim a maximum of 30 PDH per biennial renewal period for participation in this activity.</w:t>
            </w:r>
          </w:p>
        </w:tc>
        <w:tc>
          <w:tcPr>
            <w:tcW w:w="261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 PDH</w:t>
            </w:r>
          </w:p>
          <w:p>
            <w:pPr>
              <w:spacing w:before="0" w:after="0"/>
              <w:ind w:left="160"/>
              <w:jc w:val="center"/>
            </w:pPr>
            <w:r>
              <w:rPr>
                <w:rFonts w:ascii="Times New Roman" w:hAnsi="Times New Roman"/>
                <w:b w:val="false"/>
                <w:i w:val="false"/>
                <w:color w:val="000000"/>
                <w:sz w:val="16"/>
              </w:rPr>
              <w:t>per hour of committee participation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credit. </w:t>
      </w:r>
      <w:r>
        <w:rPr>
          <w:rFonts w:ascii="Times New Roman" w:hAnsi="Times New Roman"/>
          <w:b w:val="false"/>
          <w:i w:val="false"/>
          <w:color w:val="000000"/>
          <w:sz w:val="22"/>
        </w:rPr>
        <w:t>The board has final authority with respect to approval of courses, credit, PDH value for courses, and other methods of earning credit. No preapproval of offerings will be issued. The board may deny any renewal or reinstatement upon a determination of insufficient or unsatisfactory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guidelines. </w:t>
      </w:r>
      <w:r>
        <w:rPr>
          <w:rFonts w:ascii="Times New Roman" w:hAnsi="Times New Roman"/>
          <w:b w:val="false"/>
          <w:i w:val="false"/>
          <w:color w:val="000000"/>
          <w:sz w:val="22"/>
        </w:rPr>
        <w:t>Continuing education activities that satisfy the professional development criteria are those that relate to engineering or land surveying practice or management. It is recognized that an engineer’s specialized skills must have as their foundation a fundamental knowledge of chemistry, physics, mathematics, graphics, computations, communication, and humanities and social sciences. However, continuing education in the fundamentals alone will not be sufficient to maintain, improve, or expand engineering skills and knowledge. For that reason, licensees will be limited in their use of fundamental courses in proportion to ABET criteria for accreditation of engineering curricula. Continuing education activities are classified 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Group 1 activities. </w:t>
      </w:r>
      <w:r>
        <w:rPr>
          <w:rFonts w:ascii="Times New Roman" w:hAnsi="Times New Roman"/>
          <w:b w:val="false"/>
          <w:i w:val="false"/>
          <w:color w:val="000000"/>
          <w:sz w:val="22"/>
        </w:rPr>
        <w:t>Group 1 activities are intended to maintain, improve, or expand skills and knowledge obtained prior to initial licensure. The following chart illustrates the maximum PDH allowable per renewal period for Group 1 activities: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571"/>
        <w:gridCol w:w="2618"/>
      </w:tblGrid>
      <w:tr>
        <w:trPr>
          <w:trHeight w:val="450"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Type of course/activity</w:t>
            </w:r>
          </w:p>
        </w:tc>
        <w:tc>
          <w:tcPr>
            <w:tcW w:w="26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Number of PDH allowed per renewal period</w:t>
            </w:r>
          </w:p>
        </w:tc>
      </w:tr>
      <w:tr>
        <w:trPr>
          <w:trHeight w:val="58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Mathematics and basic sciences</w:t>
            </w:r>
          </w:p>
          <w:p>
            <w:pPr>
              <w:spacing w:before="0" w:after="0"/>
              <w:ind w:left="160"/>
              <w:jc w:val="left"/>
            </w:pPr>
            <w:r>
              <w:rPr>
                <w:rFonts w:ascii="Times New Roman" w:hAnsi="Times New Roman"/>
                <w:b w:val="false"/>
                <w:i w:val="false"/>
                <w:color w:val="000000"/>
                <w:sz w:val="16"/>
              </w:rPr>
              <w:t>Math beyond Trigonometry</w:t>
            </w:r>
          </w:p>
          <w:p>
            <w:pPr>
              <w:spacing w:before="0" w:after="0"/>
              <w:ind w:left="160"/>
              <w:jc w:val="left"/>
            </w:pPr>
            <w:r>
              <w:rPr>
                <w:rFonts w:ascii="Times New Roman" w:hAnsi="Times New Roman"/>
                <w:b w:val="false"/>
                <w:i w:val="false"/>
                <w:color w:val="000000"/>
                <w:sz w:val="16"/>
              </w:rPr>
              <w:t>Basic sciences: Chemistry, Physics, Life sciences, Earth sciences</w:t>
            </w:r>
          </w:p>
        </w:tc>
        <w:tc>
          <w:tcPr>
            <w:tcW w:w="26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PDH</w:t>
            </w:r>
          </w:p>
        </w:tc>
      </w:tr>
      <w:tr>
        <w:trPr>
          <w:trHeight w:val="112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Engineering sciences</w:t>
            </w:r>
          </w:p>
          <w:p>
            <w:pPr>
              <w:spacing w:before="0" w:after="0"/>
              <w:ind w:left="160"/>
              <w:jc w:val="left"/>
            </w:pPr>
            <w:r>
              <w:rPr>
                <w:rFonts w:ascii="Times New Roman" w:hAnsi="Times New Roman"/>
                <w:b w:val="false"/>
                <w:i w:val="false"/>
                <w:color w:val="000000"/>
                <w:sz w:val="16"/>
              </w:rPr>
              <w:t>Mechanics, Thermodynamics, Electrical and electrical circuits, Materials science, *Computer science</w:t>
            </w:r>
          </w:p>
          <w:p>
            <w:pPr>
              <w:spacing w:before="0" w:after="0"/>
              <w:ind w:left="160"/>
              <w:jc w:val="left"/>
            </w:pPr>
            <w:r>
              <w:rPr>
                <w:rFonts w:ascii="Times New Roman" w:hAnsi="Times New Roman"/>
                <w:b w:val="false"/>
                <w:i w:val="false"/>
                <w:color w:val="000000"/>
                <w:sz w:val="16"/>
              </w:rPr>
              <w:t>*Courses in computer science will generally be considered a part of the Engineering Sciences category in the ABET criterion and, therefore, limited to a maximum of 10 PDH per renewal period.</w:t>
            </w:r>
          </w:p>
        </w:tc>
        <w:tc>
          <w:tcPr>
            <w:tcW w:w="26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PDH</w:t>
            </w:r>
          </w:p>
        </w:tc>
      </w:tr>
      <w:tr>
        <w:trPr>
          <w:trHeight w:val="585" w:hRule="atLeast"/>
        </w:trPr>
        <w:tc>
          <w:tcPr>
            <w:tcW w:w="857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Humanities and social sciences</w:t>
            </w:r>
          </w:p>
          <w:p>
            <w:pPr>
              <w:spacing w:before="0" w:after="0"/>
              <w:ind w:left="160"/>
              <w:jc w:val="left"/>
            </w:pPr>
            <w:r>
              <w:rPr>
                <w:rFonts w:ascii="Times New Roman" w:hAnsi="Times New Roman"/>
                <w:b w:val="false"/>
                <w:i w:val="false"/>
                <w:color w:val="000000"/>
                <w:sz w:val="16"/>
              </w:rPr>
              <w:t>Philosophy, Religion, History, Literature, Fine arts, Sociology, Psychology, Political science, Anthropology, Economics, Foreign languages, Professional ethics, Social responsibility</w:t>
            </w:r>
          </w:p>
        </w:tc>
        <w:tc>
          <w:tcPr>
            <w:tcW w:w="261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PDH</w:t>
            </w:r>
          </w:p>
        </w:tc>
      </w:tr>
      <w:tr>
        <w:trPr>
          <w:trHeight w:val="1290" w:hRule="atLeast"/>
        </w:trPr>
        <w:tc>
          <w:tcPr>
            <w:tcW w:w="857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Engineering-related courses</w:t>
            </w:r>
          </w:p>
          <w:p>
            <w:pPr>
              <w:spacing w:before="0" w:after="0"/>
              <w:ind w:left="160"/>
              <w:jc w:val="left"/>
            </w:pPr>
            <w:r>
              <w:rPr>
                <w:rFonts w:ascii="Times New Roman" w:hAnsi="Times New Roman"/>
                <w:b w:val="false"/>
                <w:i w:val="false"/>
                <w:color w:val="000000"/>
                <w:sz w:val="16"/>
              </w:rPr>
              <w:t>Accounting, Industrial management, Finance, Personnel administration, Engineering economy, English, Speech, *Computer applications</w:t>
            </w:r>
          </w:p>
          <w:p>
            <w:pPr>
              <w:spacing w:before="0" w:after="0"/>
              <w:ind w:left="160"/>
              <w:jc w:val="left"/>
            </w:pPr>
            <w:r>
              <w:rPr>
                <w:rFonts w:ascii="Times New Roman" w:hAnsi="Times New Roman"/>
                <w:b w:val="false"/>
                <w:i w:val="false"/>
                <w:color w:val="000000"/>
                <w:sz w:val="16"/>
              </w:rPr>
              <w:t xml:space="preserve"> *The computer is considered a tool available to engineers and land surveyors. Courses related to computer drafting and general computer applications are generally not applicable to either Group 1 or Group 2 activities. Computer courses that relate to engineering or land surveying design applications, such as structural design/analysis software, are considered acceptable. </w:t>
            </w:r>
          </w:p>
        </w:tc>
        <w:tc>
          <w:tcPr>
            <w:tcW w:w="26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PDH</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Group 2 activities. </w:t>
      </w:r>
      <w:r>
        <w:rPr>
          <w:rFonts w:ascii="Times New Roman" w:hAnsi="Times New Roman"/>
          <w:b w:val="false"/>
          <w:i w:val="false"/>
          <w:color w:val="000000"/>
          <w:sz w:val="22"/>
        </w:rPr>
        <w:t>Group 2 activities are intended to develop new and relevant skills and knowledge. Credit for participation in activities in the group is unlimited, subject to maximum carryover. Typical areas include postgraduate level engineering science or design, new technology, environmental regulation and courses in management of engineering or land surveying activity (regular work duties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To be readily acceptable by the board, independent study as defined in rule </w:t>
      </w:r>
      <w:hyperlink r:id="rId6">
        <w:r>
          <w:rPr>
            <w:rStyle w:val="Hyperlink"/>
            <w:rFonts w:ascii="Times New Roman" w:hAnsi="Times New Roman"/>
            <w:b w:val="false"/>
            <w:i w:val="false"/>
            <w:color w:val="000000"/>
            <w:sz w:val="22"/>
          </w:rPr>
          <w:t>193C—7.2</w:t>
        </w:r>
      </w:hyperlink>
      <w:r>
        <w:rPr>
          <w:rFonts w:ascii="Times New Roman" w:hAnsi="Times New Roman"/>
          <w:b w:val="false"/>
          <w:i w:val="false"/>
          <w:color w:val="000000"/>
          <w:sz w:val="22"/>
        </w:rPr>
        <w:t>(542B,272C)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evaluation process is completed by the independent study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satisfactory completion is issued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assessment is issued to the licensee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supporting such independent studies is maintained by the licensee and provided to the board as required by subrule </w:t>
      </w:r>
      <w:hyperlink r:id="rId7">
        <w:r>
          <w:rPr>
            <w:rStyle w:val="Hyperlink"/>
            <w:rFonts w:ascii="Times New Roman" w:hAnsi="Times New Roman"/>
            <w:b w:val="false"/>
            <w:i w:val="false"/>
            <w:color w:val="000000"/>
            <w:sz w:val="22"/>
          </w:rPr>
          <w:t>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maximum of ten professional development hours of independent study activity will be allowed per biennium per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Types of continuing education activities that will be excluded from allowable continuing education are those in which it is not evident that the activity relates directly to the licensee’s practice of professional engineering or land surveying or the management of the business concerns of the licensee’s practice, or that do not comply with the board’s administrative rules. Examples of activities that do not qualify as continuing education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Toastmasters club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club meetings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estate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Banquet speeches unrelated to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society business meeting portions of technical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Financial planning/investment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Foreign travel not related to engineering study abroad;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self-improvement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Real estate licensing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Trade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Accreditation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or self-study that does not meet the requirements of subrule </w:t>
      </w:r>
      <w:hyperlink r:id="rId8">
        <w:r>
          <w:rPr>
            <w:rStyle w:val="Hyperlink"/>
            <w:rFonts w:ascii="Times New Roman" w:hAnsi="Times New Roman"/>
            <w:b w:val="false"/>
            <w:i w:val="false"/>
            <w:color w:val="000000"/>
            <w:sz w:val="22"/>
          </w:rPr>
          <w:t>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Basic CAD and fundamental computer application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Undergraduate engineering seminars.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193C—7.5</w:t>
      </w:r>
      <w:r>
        <w:rPr>
          <w:rFonts w:ascii="Times New Roman" w:hAnsi="Times New Roman"/>
          <w:b/>
          <w:i w:val="false"/>
          <w:color w:val="000000"/>
          <w:sz w:val="22"/>
        </w:rPr>
        <w:t xml:space="preserve">(542B,272C) </w:t>
      </w:r>
      <w:r>
        <w:rPr>
          <w:rFonts w:ascii="Times New Roman" w:hAnsi="Times New Roman"/>
          <w:b/>
          <w:i w:val="false"/>
          <w:color w:val="000000"/>
          <w:sz w:val="22"/>
        </w:rPr>
        <w:t xml:space="preserve">Biennial requirement. </w:t>
      </w:r>
      <w:r>
        <w:rPr>
          <w:rFonts w:ascii="Times New Roman" w:hAnsi="Times New Roman"/>
          <w:b w:val="false"/>
          <w:i w:val="false"/>
          <w:color w:val="000000"/>
          <w:sz w:val="22"/>
        </w:rPr>
        <w:t>The biennial requirement may only be satisfied during the biennium prior to licensure renewal except for the carryover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Completion of 30 professional development hours, including at least 2 professional development hours in the area of professional ethics, satisfies the continuing education necessary for biennial licensure renewal in engineering or land surveying. Completion of 40 professional development hours, including 20 professional development hours in engineering and 20 professional development hours in land surveying and at least 4 professional development hours in the area of professional ethics, satisfies the continuing education necessary for biennial licensure renewal for individuals actively licensed in both engineering and land surveying. Up to 15 professional development hours may be carried forward only into the next biennium. For individuals actively licensed in both engineering and land surveying, up to 10 professional development hours for each profession may be carried forward only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Inactive licensees are exempt from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A licensee who is active in one profession and inactive in another is obligated to meet the continuing education requirements for licensure in the profession in which active licensure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A new licensee is obligated to satisfy one-half of the biennial continuing education requirement at the first renewal following initial licensure. Professional engineers and professional land surveyors licensed by comity are not new licensees and are not eligible for the one-half continuing education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193C—7.6</w:t>
      </w:r>
      <w:r>
        <w:rPr>
          <w:rFonts w:ascii="Times New Roman" w:hAnsi="Times New Roman"/>
          <w:b/>
          <w:i w:val="false"/>
          <w:color w:val="000000"/>
          <w:sz w:val="22"/>
        </w:rPr>
        <w:t xml:space="preserve">(542B,272C)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requirements may be reduced in proportion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is licensed in and a resident of another state or district having continuing education requirements for professional engineering or land surveying and meets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is a government employee working as a professional engineer or professional land surveyor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periods of the licensee’s active practice and absence from the United States that are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No exemption will be granted without a written request from the licensee with documentation of the period of absence.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193C—7.7</w:t>
      </w:r>
      <w:r>
        <w:rPr>
          <w:rFonts w:ascii="Times New Roman" w:hAnsi="Times New Roman"/>
          <w:b/>
          <w:i w:val="false"/>
          <w:color w:val="000000"/>
          <w:sz w:val="22"/>
        </w:rPr>
        <w:t xml:space="preserve">(542B,272C) </w:t>
      </w:r>
      <w:r>
        <w:rPr>
          <w:rFonts w:ascii="Times New Roman" w:hAnsi="Times New Roman"/>
          <w:b/>
          <w:i w:val="false"/>
          <w:color w:val="000000"/>
          <w:sz w:val="22"/>
        </w:rPr>
        <w:t xml:space="preserve">Hardships or extenuating circumstances. </w:t>
      </w:r>
      <w:r>
        <w:rPr>
          <w:rFonts w:ascii="Times New Roman" w:hAnsi="Times New Roman"/>
          <w:b w:val="false"/>
          <w:i w:val="false"/>
          <w:color w:val="000000"/>
          <w:sz w:val="22"/>
        </w:rPr>
        <w:t>Upon a written request to the board, the board may, in individual cases involving hardship or extenuating circumstances, grant waivers of the continuing education requirements for a period of time not to exceed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193C—7.8</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records, and compliance review. </w:t>
      </w:r>
      <w:r>
        <w:rPr>
          <w:rFonts w:ascii="Times New Roman" w:hAnsi="Times New Roman"/>
          <w:b w:val="false"/>
          <w:i w:val="false"/>
          <w:color w:val="000000"/>
          <w:sz w:val="22"/>
        </w:rPr>
        <w:t>At the time of application for license renewal, each licensee reports, on a form provided by the board, the number of professional development hours achieved during the preceding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Maintaining records to be used to support professional development hours claimed is the responsibility of the licensee. It is recommended that each licensee keep a log showing the type of activity claimed, sponsoring organization, location, duration, instructor’s or speaker’s name, and PDH credits earned. The licensee is obligated to maintain documentation of reported PDHs for two years after the period for which the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The board may select licensees for review of compliance with continuing education on a random basis or upon receiving information regarding noncompliance and will review compliance with continuing education for reinstatement of lapsed or inactive licenses. Each licensed board member is audited for PDH compliance for a biennium that is within each member’s respective three-year appointment term. For each PDH claimed, licensees chosen for compliance review will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attendance. Attendance verification records in the form of completion certificates, or other documents supporting evidence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hours claimed;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sanctions. </w:t>
      </w:r>
      <w:r>
        <w:rPr>
          <w:rFonts w:ascii="Times New Roman" w:hAnsi="Times New Roman"/>
          <w:b w:val="false"/>
          <w:i w:val="false"/>
          <w:color w:val="000000"/>
          <w:sz w:val="22"/>
        </w:rPr>
        <w:t xml:space="preserve">Any discrepancy between the number of PDHs reported and the number of PDHs actually supported by documentation may result in a disciplinary review. If, after the disciplinary review, the board disallows any PDH, or the licensee has failed to complete the required PDHs, the licensee has 60 days from board notice to either provide further evidence of having completed the PDHs disallowed or remedy the discrepancy by completing the required number of PDHs (provided that such PDHs are not used again for the next renewal). Extension of time may be granted on an individual basis if requested by the licensee within 30 days of notification by the board. If the licensee fails to comply with the requirements of this subrule, the licensee may be subject to disciplinary action. If the board finds, after proper notice and hearing, that the licensee willfully disregarded these requirements or falsified documentation of required PDHs, the licensee may be subject to disciplinary action as further identified in 193C—paragraphs </w:t>
      </w:r>
      <w:hyperlink r:id="rId9">
        <w:r>
          <w:rPr>
            <w:rStyle w:val="Hyperlink"/>
            <w:rFonts w:ascii="Times New Roman" w:hAnsi="Times New Roman"/>
            <w:b w:val="false"/>
            <w:i w:val="false"/>
            <w:color w:val="000000"/>
            <w:sz w:val="22"/>
          </w:rPr>
          <w:t>9.3(1)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9.3(3)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residents. </w:t>
      </w:r>
      <w:r>
        <w:rPr>
          <w:rFonts w:ascii="Times New Roman" w:hAnsi="Times New Roman"/>
          <w:b w:val="false"/>
          <w:i w:val="false"/>
          <w:color w:val="000000"/>
          <w:sz w:val="22"/>
        </w:rPr>
        <w:t xml:space="preserve">A person licensed to practice engineering or land surveying or both in Iowa shall be deemed to have complied with the continuing education requirement of this state during the periods that the person is a resident of another state or district that has a continuing education requirement for engineers or land surveyors and the individual meets all requirements of that state or district for practice therein. However, if selected for compliance review, such individuals must provide documentation as specified in subrule </w:t>
      </w:r>
      <w:hyperlink r:id="rId11">
        <w:r>
          <w:rPr>
            <w:rStyle w:val="Hyperlink"/>
            <w:rFonts w:ascii="Times New Roman" w:hAnsi="Times New Roman"/>
            <w:b w:val="false"/>
            <w:i w:val="false"/>
            <w:color w:val="000000"/>
            <w:sz w:val="22"/>
          </w:rPr>
          <w:t>7.8(2)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542B.18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10/4/78—published 12/27/78, effective 1/31/79]</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10/5/95, Notice 8/16/95—published 10/25/95, effective 11/29/95]</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9/5/97, Notice 6/18/97—published 9/24/97, effective 10/29/97]</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9/24/04, Notice 7/7/04—published 10/13/04, effective 11/17/04]</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2022C</w:t>
      </w:r>
      <w:r>
        <w:rPr>
          <w:rFonts w:ascii="Times New Roman" w:hAnsi="Times New Roman"/>
          <w:b w:val="false"/>
          <w:i w:val="false"/>
          <w:color w:val="000000"/>
          <w:sz w:val="21"/>
        </w:rPr>
        <w:t xml:space="preserve"> (Notice ARC 1886C,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7670C</w:t>
      </w:r>
      <w:r>
        <w:rPr>
          <w:rFonts w:ascii="Times New Roman" w:hAnsi="Times New Roman"/>
          <w:b w:val="false"/>
          <w:i w:val="false"/>
          <w:color w:val="000000"/>
          <w:sz w:val="21"/>
        </w:rPr>
        <w:t xml:space="preserve"> (Notice ARC 7410C,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C.7.2.pdf" Type="http://schemas.openxmlformats.org/officeDocument/2006/relationships/hyperlink" Id="rId5"/>
    <Relationship TargetMode="External" Target="https://www.legis.iowa.gov/docs/iac/rule/193C.7.2.pdf" Type="http://schemas.openxmlformats.org/officeDocument/2006/relationships/hyperlink" Id="rId6"/>
    <Relationship TargetMode="External" Target="https://www.legis.iowa.gov/docs/iac/rule/193C.7.8.pdf" Type="http://schemas.openxmlformats.org/officeDocument/2006/relationships/hyperlink" Id="rId7"/>
    <Relationship TargetMode="External" Target="https://www.legis.iowa.gov/docs/iac/rule/193C.7.4.pdf" Type="http://schemas.openxmlformats.org/officeDocument/2006/relationships/hyperlink" Id="rId8"/>
    <Relationship TargetMode="External" Target="https://www.legis.iowa.gov/docs/iac/rule/193C.9.3.pdf" Type="http://schemas.openxmlformats.org/officeDocument/2006/relationships/hyperlink" Id="rId9"/>
    <Relationship TargetMode="External" Target="https://www.legis.iowa.gov/docs/iac/rule/193C.9.3.pdf" Type="http://schemas.openxmlformats.org/officeDocument/2006/relationships/hyperlink" Id="rId10"/>
    <Relationship TargetMode="External" Target="https://www.legis.iowa.gov/docs/iac/rule/193C.7.8.pdf" Type="http://schemas.openxmlformats.org/officeDocument/2006/relationships/hyperlink" Id="rId11"/>
    <Relationship TargetMode="External" Target="https://www.legis.iowa.gov/docs/ico/chapter/272C.2.pdf" Type="http://schemas.openxmlformats.org/officeDocument/2006/relationships/hyperlink" Id="rId12"/>
    <Relationship TargetMode="External" Target="https://www.legis.iowa.gov/docs/ico/chapter/272C.3.pdf" Type="http://schemas.openxmlformats.org/officeDocument/2006/relationships/hyperlink" Id="rId13"/>
    <Relationship TargetMode="External" Target="https://www.legis.iowa.gov/docs/ico/chapter/542B.6.pdf" Type="http://schemas.openxmlformats.org/officeDocument/2006/relationships/hyperlink" Id="rId14"/>
    <Relationship TargetMode="External" Target="https://www.legis.iowa.gov/docs/ico/chapter/542B.18.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