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FEES AND CHARGES</w:t>
      </w:r>
    </w:p>
    <w:p>
      <w:pPr>
        <w:spacing w:before="0" w:after="0"/>
        <w:ind w:left="120"/>
        <w:jc w:val="center"/>
      </w:pPr>
      <w:r>
        <w:rPr>
          <w:rFonts w:ascii="Times New Roman" w:hAnsi="Times New Roman"/>
          <w:b w:val="false"/>
          <w:i w:val="false"/>
          <w:color w:val="000000"/>
          <w:sz w:val="14"/>
        </w:rPr>
        <w:t>[Prior to 11/14/01, see 193C—1.9(542B)]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193C—2.1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Fees are fixed in such an amount as will defray the expense of administering board responsibilities. Fees are charged in accordance with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555"/>
        <w:gridCol w:w="4635"/>
      </w:tblGrid>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Type of fee</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Amount</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Renewal</w:t>
            </w:r>
          </w:p>
        </w:tc>
        <w:tc>
          <w:tcPr>
            <w:tcW w:w="46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376"/>
              <w:jc w:val="left"/>
            </w:pPr>
            <w:r>
              <w:rPr>
                <w:rFonts w:ascii="Times New Roman" w:hAnsi="Times New Roman"/>
                <w:b w:val="false"/>
                <w:i w:val="false"/>
                <w:color w:val="000000"/>
                <w:sz w:val="16"/>
              </w:rPr>
              <w:t>Active license renewal</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376"/>
              <w:jc w:val="left"/>
            </w:pPr>
            <w:r>
              <w:rPr>
                <w:rFonts w:ascii="Times New Roman" w:hAnsi="Times New Roman"/>
                <w:b w:val="false"/>
                <w:i w:val="false"/>
                <w:color w:val="000000"/>
                <w:sz w:val="16"/>
              </w:rPr>
              <w:t>Inactive license renewal</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r>
      <w:tr>
        <w:trPr>
          <w:trHeight w:val="58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Reinstatement of lapsed license</w:t>
            </w:r>
          </w:p>
          <w:p>
            <w:pPr>
              <w:spacing w:before="0" w:after="0"/>
              <w:ind w:left="160"/>
              <w:jc w:val="left"/>
            </w:pPr>
            <w:r>
              <w:rPr>
                <w:rFonts w:ascii="Times New Roman" w:hAnsi="Times New Roman"/>
                <w:b w:val="false"/>
                <w:i w:val="false"/>
                <w:color w:val="000000"/>
                <w:sz w:val="16"/>
              </w:rPr>
              <w:t>(In addition to the reinstatement fee, the applicant for reinstatement must also pay the appropriate prorated reinstated license fee below.)</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Reinstatement of inactive to active license</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$60</w:t>
            </w:r>
          </w:p>
        </w:tc>
      </w:tr>
      <w:tr>
        <w:trPr>
          <w:trHeight w:val="585" w:hRule="atLeast"/>
        </w:trPr>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New or reinstated license</w:t>
            </w:r>
          </w:p>
          <w:p>
            <w:pPr>
              <w:spacing w:before="0" w:after="0"/>
              <w:ind w:left="160"/>
              <w:jc w:val="left"/>
            </w:pPr>
            <w:r>
              <w:rPr>
                <w:rFonts w:ascii="Times New Roman" w:hAnsi="Times New Roman"/>
                <w:b w:val="false"/>
                <w:i w:val="false"/>
                <w:color w:val="000000"/>
                <w:sz w:val="16"/>
              </w:rPr>
              <w:t>(In addition to the appropriate prorated reinstated license fee, the applicant for reinstatement must also pay the reinstatement fee above.)</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r>
              <w:br/>
            </w:r>
            <w:r>
              <w:rPr>
                <w:rFonts w:ascii="Times New Roman" w:hAnsi="Times New Roman"/>
                <w:b w:val="false"/>
                <w:i w:val="false"/>
                <w:color w:val="000000"/>
                <w:sz w:val="16"/>
              </w:rPr>
              <w:t>Prorated at six-month intervals</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Application for examination</w:t>
            </w:r>
          </w:p>
        </w:tc>
        <w:tc>
          <w:tcPr>
            <w:tcW w:w="46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376"/>
              <w:jc w:val="left"/>
            </w:pPr>
            <w:r>
              <w:rPr>
                <w:rFonts w:ascii="Times New Roman" w:hAnsi="Times New Roman"/>
                <w:b w:val="false"/>
                <w:i w:val="false"/>
                <w:color w:val="000000"/>
                <w:sz w:val="16"/>
              </w:rPr>
              <w:t>Principles and Practice of Land Surveying</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Examinations</w:t>
            </w:r>
          </w:p>
        </w:tc>
        <w:tc>
          <w:tcPr>
            <w:tcW w:w="46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6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376"/>
              <w:jc w:val="left"/>
            </w:pPr>
            <w:r>
              <w:rPr>
                <w:rFonts w:ascii="Times New Roman" w:hAnsi="Times New Roman"/>
                <w:b w:val="false"/>
                <w:i w:val="false"/>
                <w:color w:val="000000"/>
                <w:sz w:val="16"/>
              </w:rPr>
              <w:t>Fees for National Council of Examiners for Engineering and Surveying (NCEES) examinations are paid directly to the examination service at the rate established by contract based upon cost of the examination materials and processing expenses.</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Variable</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376"/>
              <w:jc w:val="left"/>
            </w:pPr>
            <w:r>
              <w:rPr>
                <w:rFonts w:ascii="Times New Roman" w:hAnsi="Times New Roman"/>
                <w:b w:val="false"/>
                <w:i w:val="false"/>
                <w:color w:val="000000"/>
                <w:sz w:val="16"/>
              </w:rPr>
              <w:t>Iowa State Specific Land Surveying Examination</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r>
      <w:tr>
        <w:trPr>
          <w:trHeight w:val="40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Application for licensure by comity or verification as a professional engineer or professional land surveyor</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Certificates</w:t>
            </w:r>
          </w:p>
        </w:tc>
        <w:tc>
          <w:tcPr>
            <w:tcW w:w="46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376"/>
              <w:jc w:val="left"/>
            </w:pPr>
            <w:r>
              <w:rPr>
                <w:rFonts w:ascii="Times New Roman" w:hAnsi="Times New Roman"/>
                <w:b w:val="false"/>
                <w:i w:val="false"/>
                <w:color w:val="000000"/>
                <w:sz w:val="16"/>
              </w:rPr>
              <w:t>Initial professional engineer or professional land surveyor certificate</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376"/>
              <w:jc w:val="left"/>
            </w:pPr>
            <w:r>
              <w:rPr>
                <w:rFonts w:ascii="Times New Roman" w:hAnsi="Times New Roman"/>
                <w:b w:val="false"/>
                <w:i w:val="false"/>
                <w:color w:val="000000"/>
                <w:sz w:val="16"/>
              </w:rPr>
              <w:t>Additional or duplicate certificate</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376"/>
              <w:jc w:val="left"/>
            </w:pPr>
            <w:r>
              <w:rPr>
                <w:rFonts w:ascii="Times New Roman" w:hAnsi="Times New Roman"/>
                <w:b w:val="false"/>
                <w:i w:val="false"/>
                <w:color w:val="000000"/>
                <w:sz w:val="16"/>
              </w:rPr>
              <w:t>Engineer or land surveyor intern certificate</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No charge</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Check returned for insufficient funds</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Verification of records for lapsed licensees</w:t>
            </w:r>
          </w:p>
        </w:tc>
        <w:tc>
          <w:tcPr>
            <w:tcW w:w="46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 per verification</w:t>
            </w:r>
          </w:p>
        </w:tc>
      </w:tr>
      <w:tr>
        <w:trPr>
          <w:trHeight w:val="405" w:hRule="atLeast"/>
        </w:trPr>
        <w:tc>
          <w:tcPr>
            <w:tcW w:w="6555" w:type="dxa"/>
            <w:tcBorders>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Late renewal fee (for renewals completed after December 31 and before January 31)</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193C—2.2</w:t>
      </w:r>
      <w:r>
        <w:rPr>
          <w:rFonts w:ascii="Times New Roman" w:hAnsi="Times New Roman"/>
          <w:b/>
          <w:i w:val="false"/>
          <w:color w:val="000000"/>
          <w:sz w:val="22"/>
        </w:rPr>
        <w:t xml:space="preserve">(542B) </w:t>
      </w:r>
      <w:r>
        <w:rPr>
          <w:rFonts w:ascii="Times New Roman" w:hAnsi="Times New Roman"/>
          <w:b/>
          <w:i w:val="false"/>
          <w:color w:val="000000"/>
          <w:sz w:val="22"/>
        </w:rPr>
        <w:t xml:space="preserve">Nonrefundable fees. </w:t>
      </w:r>
      <w:r>
        <w:rPr>
          <w:rFonts w:ascii="Times New Roman" w:hAnsi="Times New Roman"/>
          <w:b w:val="false"/>
          <w:i w:val="false"/>
          <w:color w:val="000000"/>
          <w:sz w:val="22"/>
        </w:rPr>
        <w:t>Application fees submitted with applications for the Fundamentals of Engineering examination, the Fundamentals of Land Surveying examination, the Principles and Practice of Engineering examination, the Principles and Practice of Land Surveying examination, comity licensure, or renewal of licensure are not refundable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5/9/03, Notice 2/19/03—published 5/28/03, effective 7/2/03]</w:t>
      </w:r>
    </w:p>
    <w:p>
      <w:pPr>
        <w:spacing w:before="0" w:after="0"/>
        <w:ind w:left="120"/>
        <w:jc w:val="center"/>
      </w:pPr>
      <w:r>
        <w:rPr>
          <w:rFonts w:ascii="Times New Roman" w:hAnsi="Times New Roman"/>
          <w:b w:val="false"/>
          <w:i w:val="false"/>
          <w:color w:val="000000"/>
          <w:sz w:val="21"/>
        </w:rPr>
        <w:t>[Filed 3/11/05, Notice 12/22/04—published 3/30/05, effective 5/4/05]</w:t>
      </w:r>
    </w:p>
    <w:p>
      <w:pPr>
        <w:spacing w:before="0" w:after="0"/>
        <w:ind w:left="120"/>
        <w:jc w:val="center"/>
      </w:pPr>
      <w:r>
        <w:rPr>
          <w:rFonts w:ascii="Times New Roman" w:hAnsi="Times New Roman"/>
          <w:b w:val="false"/>
          <w:i w:val="false"/>
          <w:color w:val="000000"/>
          <w:sz w:val="21"/>
        </w:rPr>
        <w:t>[Filed ARC 8584B</w:t>
      </w:r>
      <w:r>
        <w:rPr>
          <w:rFonts w:ascii="Times New Roman" w:hAnsi="Times New Roman"/>
          <w:b w:val="false"/>
          <w:i w:val="false"/>
          <w:color w:val="000000"/>
          <w:sz w:val="21"/>
        </w:rPr>
        <w:t xml:space="preserve"> (Notice ARC 8393B,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7665C</w:t>
      </w:r>
      <w:r>
        <w:rPr>
          <w:rFonts w:ascii="Times New Roman" w:hAnsi="Times New Roman"/>
          <w:b w:val="false"/>
          <w:i w:val="false"/>
          <w:color w:val="000000"/>
          <w:sz w:val="21"/>
        </w:rPr>
        <w:t xml:space="preserve"> (Notice ARC 7405C,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3.pdf" Type="http://schemas.openxmlformats.org/officeDocument/2006/relationships/hyperlink" Id="rId5"/>
    <Relationship TargetMode="External" Target="https://www.legis.iowa.gov/docs/ico/chapter/542B.15.pdf" Type="http://schemas.openxmlformats.org/officeDocument/2006/relationships/hyperlink" Id="rId6"/>
    <Relationship TargetMode="External" Target="https://www.legis.iowa.gov/docs/ico/chapter/542B.20.pdf" Type="http://schemas.openxmlformats.org/officeDocument/2006/relationships/hyperlink" Id="rId7"/>
    <Relationship TargetMode="External" Target="https://www.legis.iowa.gov/docs/ico/chapter/542B.3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