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CIVIL PENALTIES FOR UNLICENSED PRACTICE</w:t>
      </w:r>
    </w:p>
    <w:p>
      <w:pPr>
        <w:spacing w:before="0" w:after="0"/>
        <w:ind w:left="120"/>
        <w:jc w:val="center"/>
      </w:pPr>
      <w:r>
        <w:rPr>
          <w:rFonts w:ascii="Times New Roman" w:hAnsi="Times New Roman"/>
          <w:b w:val="false"/>
          <w:i w:val="false"/>
          <w:color w:val="000000"/>
          <w:sz w:val="14"/>
        </w:rPr>
        <w:t>[Prior to 11/14/01, see 193C—1.10(542B)]</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193C—13.1</w:t>
      </w:r>
      <w:r>
        <w:rPr>
          <w:rFonts w:ascii="Times New Roman" w:hAnsi="Times New Roman"/>
          <w:b/>
          <w:i w:val="false"/>
          <w:color w:val="000000"/>
          <w:sz w:val="22"/>
        </w:rPr>
        <w:t xml:space="preserve">(542B)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 xml:space="preserve">The board may impose civil penalties by order against a person who is not licensed as an engineer or land surveyor pursuant to Iowa Code chapter </w:t>
      </w:r>
      <w:hyperlink r:id="rId5">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based on the unlawful practices specified in Iowa Code section </w:t>
      </w:r>
      <w:hyperlink r:id="rId6">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xml:space="preserve">. In addition to the procedures set forth in Iowa Code section </w:t>
      </w:r>
      <w:hyperlink r:id="rId7">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this rule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the board’s intent to impose a civil penalty required by Iowa Code section </w:t>
      </w:r>
      <w:hyperlink r:id="rId8">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xml:space="preserve"> shall be served upon the nonlicensee by restricted certified mail, return receipt requested, or personal service in accordance with Rule of Civil Procedure 56.1. Alternatively, the nonlicensee may accept service personally or through authorized counsel. The notice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proposed civil penalty would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alleged unlawful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dollar amount of the proposed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nonlicensee’s right to a hearing and the time frame in which a hearing must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address to which the written request for a hearing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val="false"/>
          <w:color w:val="000000"/>
          <w:sz w:val="22"/>
        </w:rPr>
        <w:t>Nonlicensees must request a hearing within 30 days of the date the notice is mailed if served through restricted certified mail to the last-known address or within 30 days of the date of service if service is accepted or made in accordance with Rule of Civil Procedure 56.1. A request for hearing must be in writing and is deemed made on the date of the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not timely made, the board chair or the chair’s designee may issue an order imposing the civil penalty described in the notice. The order may be mailed by regular first-class mail or served in the same manner as the notice of intent to impose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timely made, the board will issue a notice of hearing and conduct a hearing in the same manner as applicable to a disciplinary case against a licensed engineer or land surveyor.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factors set forth in Iowa Code section </w:t>
      </w:r>
      <w:hyperlink r:id="rId9">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the board may consider the following when determining the amount of civil penalty to impose,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elapsed since the unlawful practice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reform or remedial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a repeat offense following a prior warning letter or other notice of the nature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involved an element of deception.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unlawful practice violated a prior order of the board, court order, cease and desist agreement, consent order, or similar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violation was willful and intentional</w:t>
      </w:r>
      <w:r>
        <w:rPr>
          <w:rFonts w:ascii="Times New Roman" w:hAnsi="Times New Roman"/>
          <w:b w:val="false"/>
          <w:i/>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nonlicensee acted in bad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nonlicensee cooperated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w:t>
      </w:r>
      <w:r>
        <w:rPr>
          <w:rFonts w:ascii="Times New Roman" w:hAnsi="Times New Roman"/>
          <w:b w:val="false"/>
          <w:i w:val="false"/>
          <w:color w:val="000000"/>
          <w:sz w:val="22"/>
        </w:rPr>
        <w:t> </w:t>
      </w:r>
      <w:r>
        <w:rPr>
          <w:rFonts w:ascii="Times New Roman" w:hAnsi="Times New Roman"/>
          <w:b w:val="false"/>
          <w:i w:val="false"/>
          <w:color w:val="000000"/>
          <w:sz w:val="22"/>
        </w:rPr>
        <w:t>A nonlicensee may waive the right to a hearing and all attendant rights and enter into a consent order imposing a civil penalty at any stage of the proceeding upon mutual consent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13.1(7)</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impose civil penalty and order imposing civil penalty are public records available for inspection and copying in accordance with Iowa Code chapter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Copies may be provided to the media, the National Council of Examiners for Engineering and Surveying, and other entities. Hearings shall be open to the public.</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ARC 7676C</w:t>
      </w:r>
      <w:r>
        <w:rPr>
          <w:rFonts w:ascii="Times New Roman" w:hAnsi="Times New Roman"/>
          <w:b w:val="false"/>
          <w:i w:val="false"/>
          <w:color w:val="000000"/>
          <w:sz w:val="21"/>
        </w:rPr>
        <w:t xml:space="preserve"> (Notice ARC 7416C,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B.pdf" Type="http://schemas.openxmlformats.org/officeDocument/2006/relationships/hyperlink" Id="rId5"/>
    <Relationship TargetMode="External" Target="https://www.legis.iowa.gov/docs/ico/chapter/542B.27.pdf" Type="http://schemas.openxmlformats.org/officeDocument/2006/relationships/hyperlink" Id="rId6"/>
    <Relationship TargetMode="External" Target="https://www.legis.iowa.gov/docs/ico/chapter/542B.27.pdf" Type="http://schemas.openxmlformats.org/officeDocument/2006/relationships/hyperlink" Id="rId7"/>
    <Relationship TargetMode="External" Target="https://www.legis.iowa.gov/docs/ico/chapter/542B.27.pdf" Type="http://schemas.openxmlformats.org/officeDocument/2006/relationships/hyperlink" Id="rId8"/>
    <Relationship TargetMode="External" Target="https://www.legis.iowa.gov/docs/ico/chapter/542B.27.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542B.27.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