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MINIMUM STANDARDS FOR PROPERTY SURVEYS</w:t>
      </w:r>
    </w:p>
    <w:p>
      <w:pPr>
        <w:spacing w:before="0" w:after="0"/>
        <w:ind w:left="120"/>
        <w:jc w:val="center"/>
      </w:pPr>
      <w:r>
        <w:rPr>
          <w:rFonts w:ascii="Times New Roman" w:hAnsi="Times New Roman"/>
          <w:b w:val="false"/>
          <w:i w:val="false"/>
          <w:color w:val="000000"/>
          <w:sz w:val="14"/>
        </w:rPr>
        <w:t>[Prior to 11/14/01, see 193C—Chapter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193C—11.1</w:t>
      </w:r>
      <w:r>
        <w:rPr>
          <w:rFonts w:ascii="Times New Roman" w:hAnsi="Times New Roman"/>
          <w:b/>
          <w:i w:val="false"/>
          <w:color w:val="000000"/>
          <w:sz w:val="22"/>
        </w:rPr>
        <w:t xml:space="preserve">(542B)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professional land surveyor will comply with the minimum standards for property surveys described by statute or administrative rule. The minimum standards in this chapter apply to all property surveys performed in this state except those done for acquisition plats as described in Iowa Code chapter </w:t>
      </w:r>
      <w:hyperlink r:id="rId5">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193C—11.2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“Plat” </w:t>
      </w:r>
      <w:r>
        <w:rPr>
          <w:rFonts w:ascii="Times New Roman" w:hAnsi="Times New Roman"/>
          <w:b w:val="false"/>
          <w:i w:val="false"/>
          <w:color w:val="000000"/>
          <w:sz w:val="22"/>
        </w:rPr>
        <w:t xml:space="preserve">means both a plat of survey and a subdivision plat as those terms are defined in Iowa Code section </w:t>
      </w:r>
      <w:hyperlink r:id="rId6">
        <w:r>
          <w:rPr>
            <w:rStyle w:val="Hyperlink"/>
            <w:rFonts w:ascii="Times New Roman" w:hAnsi="Times New Roman"/>
            <w:b w:val="false"/>
            <w:i w:val="false"/>
            <w:color w:val="000000"/>
            <w:sz w:val="22"/>
          </w:rPr>
          <w:t>355.1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survey” </w:t>
      </w:r>
      <w:r>
        <w:rPr>
          <w:rFonts w:ascii="Times New Roman" w:hAnsi="Times New Roman"/>
          <w:b w:val="false"/>
          <w:i w:val="false"/>
          <w:color w:val="000000"/>
          <w:sz w:val="22"/>
        </w:rPr>
        <w:t>means any land survey performed for the purpose of describing, monumenting, retracing and establishing boundary lines, dividing, subdividing, or platting one or more parcels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“Retrace” </w:t>
      </w:r>
      <w:r>
        <w:rPr>
          <w:rFonts w:ascii="Times New Roman" w:hAnsi="Times New Roman"/>
          <w:b w:val="false"/>
          <w:i w:val="false"/>
          <w:color w:val="000000"/>
          <w:sz w:val="22"/>
        </w:rPr>
        <w:t>means following along a previously established line to logical termini.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193C—11.3</w:t>
      </w:r>
      <w:r>
        <w:rPr>
          <w:rFonts w:ascii="Times New Roman" w:hAnsi="Times New Roman"/>
          <w:b/>
          <w:i w:val="false"/>
          <w:color w:val="000000"/>
          <w:sz w:val="22"/>
        </w:rPr>
        <w:t xml:space="preserve">(542B) </w:t>
      </w:r>
      <w:r>
        <w:rPr>
          <w:rFonts w:ascii="Times New Roman" w:hAnsi="Times New Roman"/>
          <w:b/>
          <w:i w:val="false"/>
          <w:color w:val="000000"/>
          <w:sz w:val="22"/>
        </w:rPr>
        <w:t xml:space="preserve">Boundary location. </w:t>
      </w:r>
      <w:r>
        <w:rPr>
          <w:rFonts w:ascii="Times New Roman" w:hAnsi="Times New Roman"/>
          <w:b w:val="false"/>
          <w:i w:val="false"/>
          <w:color w:val="000000"/>
          <w:sz w:val="22"/>
        </w:rPr>
        <w:t>Every property survey shall be made in accordance with the legal description (record title) boundaries as nearly as is practicable. The surveyor will acquire data necessary to retrace record title boundaries, centerlines, and other boundary line locations. The surveyor will analyze the data and determine the position of the boundaries of the parcel being surveyed. The surveyor will make a field survey, locating and connecting monuments necessary for location of the parcel, and coordinate the facts of such survey with the analysis. The surveyor will set monuments marking the corners of such parcel unless monuments already exist at such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193C—11.4</w:t>
      </w:r>
      <w:r>
        <w:rPr>
          <w:rFonts w:ascii="Times New Roman" w:hAnsi="Times New Roman"/>
          <w:b/>
          <w:i w:val="false"/>
          <w:color w:val="000000"/>
          <w:sz w:val="22"/>
        </w:rPr>
        <w:t xml:space="preserve">(542B) </w:t>
      </w:r>
      <w:r>
        <w:rPr>
          <w:rFonts w:ascii="Times New Roman" w:hAnsi="Times New Roman"/>
          <w:b/>
          <w:i w:val="false"/>
          <w:color w:val="000000"/>
          <w:sz w:val="22"/>
        </w:rPr>
        <w:t xml:space="preserve">Descriptions. </w:t>
      </w:r>
      <w:r>
        <w:rPr>
          <w:rFonts w:ascii="Times New Roman" w:hAnsi="Times New Roman"/>
          <w:b w:val="false"/>
          <w:i w:val="false"/>
          <w:color w:val="000000"/>
          <w:sz w:val="22"/>
        </w:rPr>
        <w:t>Descriptions defining land boundaries written for conveyance or other purposes shall be complete, providing definite and unequivocal identification of lines or boundaries. The description must contain dimensions sufficient to enable the description to be platted and retraced and describe the land surveyed either by government lot or by quarter-quarter section or by quarter section and identify the section, township, range and county; and by metes and bounds commencing with a corner monumented and established in the U.S. Public Land Survey System; or if such land is located in a recorded subdivision or recorded addition thereto, then by the number or other description of the lot, block or subdivision thereof that has been previously tied to a corner monumented and established by the U.S. Public Land Survey System. If the parcel is described by metes and bounds, it may be referenced to known lot or block corners in recorded subdivision or additions.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193C—11.5</w:t>
      </w:r>
      <w:r>
        <w:rPr>
          <w:rFonts w:ascii="Times New Roman" w:hAnsi="Times New Roman"/>
          <w:b/>
          <w:i w:val="false"/>
          <w:color w:val="000000"/>
          <w:sz w:val="22"/>
        </w:rPr>
        <w:t xml:space="preserve">(542B) </w:t>
      </w:r>
      <w:r>
        <w:rPr>
          <w:rFonts w:ascii="Times New Roman" w:hAnsi="Times New Roman"/>
          <w:b/>
          <w:i w:val="false"/>
          <w:color w:val="000000"/>
          <w:sz w:val="22"/>
        </w:rPr>
        <w:t xml:space="preserve">Plats. </w:t>
      </w:r>
      <w:r>
        <w:rPr>
          <w:rFonts w:ascii="Times New Roman" w:hAnsi="Times New Roman"/>
          <w:b w:val="false"/>
          <w:i w:val="false"/>
          <w:color w:val="000000"/>
          <w:sz w:val="22"/>
        </w:rPr>
        <w:t>A plat shall be drawn for every property survey performed showing information developed by the survey and including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The plat is drawn to a convenient scale that is clearly stated and graphically illustrated by a bar scale on every plat 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The plat shows the length and bearing of the boundaries of the parcels surveyed. Where the boundary lines show bearing, lengths or locations that vary from those recorded in deeds, abutting plats or other instruments, the following note is placed along such lines: “recorded as (show recorded bearing, length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The plat shows and identifies all monuments necessary for the location of the parcel and indicates whether such monuments were found or placed and includes an accurate description of each monument consisting of size, shape, and material type, capped with license number, and color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is captioned to identify the person for whom the survey was made and the date of the survey and describes the parcel as provided in rule </w:t>
      </w:r>
      <w:hyperlink r:id="rId7">
        <w:r>
          <w:rPr>
            <w:rStyle w:val="Hyperlink"/>
            <w:rFonts w:ascii="Times New Roman" w:hAnsi="Times New Roman"/>
            <w:b w:val="false"/>
            <w:i w:val="false"/>
            <w:color w:val="000000"/>
            <w:sz w:val="22"/>
          </w:rPr>
          <w:t>193C—11.4</w:t>
        </w:r>
      </w:hyperlink>
      <w:r>
        <w:rPr>
          <w:rFonts w:ascii="Times New Roman" w:hAnsi="Times New Roman"/>
          <w:b w:val="false"/>
          <w:i w:val="false"/>
          <w:color w:val="000000"/>
          <w:sz w:val="22"/>
        </w:rPr>
        <w:t>(542B)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The plat shows that record title boundaries, centerlines, and other boundary lines were retraced to monuments found or placed by the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val="false"/>
          <w:color w:val="000000"/>
          <w:sz w:val="22"/>
        </w:rPr>
        <w:t>The plat shows that the survey is tied to a physically monumented land line that is identified by two U.S. Public Land Survey System corners or by two physically monumented corners of a recorded subdivision. The plat shows a distance relationship measured by the surveyor between the two corners on the physically monumented land line. The physically monumented land line shall be germane to the survey of the lot, parcel, or 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8">
        <w:r>
          <w:rPr>
            <w:rStyle w:val="Hyperlink"/>
            <w:rFonts w:ascii="Times New Roman" w:hAnsi="Times New Roman"/>
            <w:b w:val="false"/>
            <w:i w:val="false"/>
            <w:color w:val="000000"/>
            <w:sz w:val="22"/>
          </w:rPr>
          <w:t>193C—6.1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surveyor shall record every plat and description, excluding subdivision plats, with the county recorder no later than 30 days after signature on the plat by the surveyor.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193C—11.6</w:t>
      </w:r>
      <w:r>
        <w:rPr>
          <w:rFonts w:ascii="Times New Roman" w:hAnsi="Times New Roman"/>
          <w:b/>
          <w:i w:val="false"/>
          <w:color w:val="000000"/>
          <w:sz w:val="22"/>
        </w:rPr>
        <w:t xml:space="preserve">(542B) </w:t>
      </w:r>
      <w:r>
        <w:rPr>
          <w:rFonts w:ascii="Times New Roman" w:hAnsi="Times New Roman"/>
          <w:b/>
          <w:i w:val="false"/>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Measurements may only be made with instruments and methods capable of attaining the required accuracy for the particular problem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Measurements as placed on the plat shall be in conformance with the capabilities of the instruments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The unadjusted closure for all closed traverse surveys shall be not greater than 1 in 5,000 and, for subdivision boundaries, 1 in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In a closed traverse, the sum of the measured angles shall agree with the theoretical sum by a difference not greater than 30 seconds times the square root of the number of angles.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The unadjusted error of field measurements shall not be greater than 1 in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The relative positional tolerance at the 95 percent confidence level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subdivision boundaries: ±(0.13 feet + 1:10,000)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land surveying: ±(0.26 feet + 1:5,000)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w:t>
      </w:r>
      <w:r>
        <w:rPr>
          <w:rFonts w:ascii="Times New Roman" w:hAnsi="Times New Roman"/>
          <w:b w:val="false"/>
          <w:i w:val="false"/>
          <w:color w:val="000000"/>
          <w:sz w:val="22"/>
        </w:rPr>
        <w:t> </w:t>
      </w:r>
      <w:r>
        <w:rPr>
          <w:rFonts w:ascii="Times New Roman" w:hAnsi="Times New Roman"/>
          <w:b w:val="false"/>
          <w:i w:val="false"/>
          <w:color w:val="000000"/>
          <w:sz w:val="22"/>
        </w:rPr>
        <w:t>Bearings or angles on any property survey plat shall be shown to the nearest one minute; distance shall be shown to the nearest one-tenth foot.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193C—11.7</w:t>
      </w:r>
      <w:r>
        <w:rPr>
          <w:rFonts w:ascii="Times New Roman" w:hAnsi="Times New Roman"/>
          <w:b/>
          <w:i w:val="false"/>
          <w:color w:val="000000"/>
          <w:sz w:val="22"/>
        </w:rPr>
        <w:t xml:space="preserve">(542B) </w:t>
      </w:r>
      <w:r>
        <w:rPr>
          <w:rFonts w:ascii="Times New Roman" w:hAnsi="Times New Roman"/>
          <w:b/>
          <w:i w:val="false"/>
          <w:color w:val="000000"/>
          <w:sz w:val="22"/>
        </w:rPr>
        <w:t xml:space="preserve">Monuments. </w:t>
      </w:r>
      <w:r>
        <w:rPr>
          <w:rFonts w:ascii="Times New Roman" w:hAnsi="Times New Roman"/>
          <w:b w:val="false"/>
          <w:i w:val="false"/>
          <w:color w:val="000000"/>
          <w:sz w:val="22"/>
        </w:rPr>
        <w:t xml:space="preserve">Monuments shall adhere to Iowa Code section </w:t>
      </w:r>
      <w:hyperlink r:id="rId9">
        <w:r>
          <w:rPr>
            <w:rStyle w:val="Hyperlink"/>
            <w:rFonts w:ascii="Times New Roman" w:hAnsi="Times New Roman"/>
            <w:b w:val="false"/>
            <w:i w:val="false"/>
            <w:color w:val="000000"/>
            <w:sz w:val="22"/>
          </w:rPr>
          <w:t>355.6</w:t>
        </w:r>
      </w:hyperlink>
      <w:r>
        <w:rPr>
          <w:rFonts w:ascii="Times New Roman" w:hAnsi="Times New Roman"/>
          <w:b w:val="false"/>
          <w:i w:val="false"/>
          <w:color w:val="000000"/>
          <w:sz w:val="22"/>
        </w:rPr>
        <w:t xml:space="preserve">. More information can be found in rule </w:t>
      </w:r>
      <w:hyperlink r:id="rId10">
        <w:r>
          <w:rPr>
            <w:rStyle w:val="Hyperlink"/>
            <w:rFonts w:ascii="Times New Roman" w:hAnsi="Times New Roman"/>
            <w:b w:val="false"/>
            <w:i w:val="false"/>
            <w:color w:val="000000"/>
            <w:sz w:val="22"/>
          </w:rPr>
          <w:t>193C—11.3</w:t>
        </w:r>
      </w:hyperlink>
      <w:r>
        <w:rPr>
          <w:rFonts w:ascii="Times New Roman" w:hAnsi="Times New Roman"/>
          <w:b w:val="false"/>
          <w:i w:val="false"/>
          <w:color w:val="000000"/>
          <w:sz w:val="22"/>
        </w:rPr>
        <w:t>(542B).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355.3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4/1/77, Notice 12/29/76—published 4/20/77, effective 5/25/77]</w:t>
      </w:r>
    </w:p>
    <w:p>
      <w:pPr>
        <w:spacing w:before="0" w:after="0"/>
        <w:ind w:left="120"/>
        <w:jc w:val="center"/>
      </w:pPr>
      <w:r>
        <w:rPr>
          <w:rFonts w:ascii="Times New Roman" w:hAnsi="Times New Roman"/>
          <w:b w:val="false"/>
          <w:i w:val="false"/>
          <w:color w:val="000000"/>
          <w:sz w:val="21"/>
        </w:rPr>
        <w:t>[Filed 8/11/83, Notice 5/25/83—published 8/31/83, effective 10/5/83]</w:t>
      </w:r>
    </w:p>
    <w:p>
      <w:pPr>
        <w:spacing w:before="0" w:after="0"/>
        <w:ind w:left="120"/>
        <w:jc w:val="center"/>
      </w:pPr>
      <w:r>
        <w:rPr>
          <w:rFonts w:ascii="Times New Roman" w:hAnsi="Times New Roman"/>
          <w:b w:val="false"/>
          <w:i w:val="false"/>
          <w:color w:val="000000"/>
          <w:sz w:val="21"/>
        </w:rPr>
        <w:t>[Filed 11/12/87, Notice 8/26/87—published 12/2/87, effective 1/6/88]</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11/26/97, Notice 9/24/97—published 12/17/97, effective 1/21/98]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12/21/99, Notice 10/20/99—published 1/12/00, effective 2/16/00]</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7674C</w:t>
      </w:r>
      <w:r>
        <w:rPr>
          <w:rFonts w:ascii="Times New Roman" w:hAnsi="Times New Roman"/>
          <w:b w:val="false"/>
          <w:i w:val="false"/>
          <w:color w:val="000000"/>
          <w:sz w:val="21"/>
        </w:rPr>
        <w:t xml:space="preserve"> (Notice ARC 7414C,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4.pdf" Type="http://schemas.openxmlformats.org/officeDocument/2006/relationships/hyperlink" Id="rId5"/>
    <Relationship TargetMode="External" Target="https://www.legis.iowa.gov/docs/ico/chapter/355.1.pdf" Type="http://schemas.openxmlformats.org/officeDocument/2006/relationships/hyperlink" Id="rId6"/>
    <Relationship TargetMode="External" Target="https://www.legis.iowa.gov/docs/iac/rule/193C.11.4.pdf" Type="http://schemas.openxmlformats.org/officeDocument/2006/relationships/hyperlink" Id="rId7"/>
    <Relationship TargetMode="External" Target="https://www.legis.iowa.gov/docs/iac/rule/193C.6.1.pdf" Type="http://schemas.openxmlformats.org/officeDocument/2006/relationships/hyperlink" Id="rId8"/>
    <Relationship TargetMode="External" Target="https://www.legis.iowa.gov/docs/ico/chapter/355.6.pdf" Type="http://schemas.openxmlformats.org/officeDocument/2006/relationships/hyperlink" Id="rId9"/>
    <Relationship TargetMode="External" Target="https://www.legis.iowa.gov/docs/iac/rule/193C.11.3.pdf" Type="http://schemas.openxmlformats.org/officeDocument/2006/relationships/hyperlink" Id="rId10"/>
    <Relationship TargetMode="External" Target="https://www.legis.iowa.gov/docs/ico/chapter/355.3.pdf" Type="http://schemas.openxmlformats.org/officeDocument/2006/relationships/hyperlink" Id="rId11"/>
    <Relationship TargetMode="External" Target="https://www.legis.iowa.gov/docs/ico/chapter/542B.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