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LICENSED PUBLIC ACCOUNTING FIRMS</w:t>
      </w:r>
    </w:p>
    <w:p>
      <w:pPr>
        <w:spacing w:before="0" w:after="0"/>
        <w:ind w:left="120"/>
        <w:jc w:val="center"/>
      </w:pPr>
      <w:r>
        <w:rPr>
          <w:rFonts w:ascii="Times New Roman" w:hAnsi="Times New Roman"/>
          <w:b w:val="false"/>
          <w:i w:val="false"/>
          <w:color w:val="000000"/>
          <w:sz w:val="14"/>
        </w:rPr>
        <w:t>[Prior to 7/13/88, see Accountancy, Board of[10]]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193A—8.1</w:t>
      </w:r>
      <w:r>
        <w:rPr>
          <w:rFonts w:ascii="Times New Roman" w:hAnsi="Times New Roman"/>
          <w:b/>
          <w:i w:val="false"/>
          <w:color w:val="000000"/>
          <w:sz w:val="22"/>
        </w:rPr>
        <w:t xml:space="preserve">(542) </w:t>
      </w:r>
      <w:r>
        <w:rPr>
          <w:rFonts w:ascii="Times New Roman" w:hAnsi="Times New Roman"/>
          <w:b/>
          <w:i w:val="false"/>
          <w:color w:val="000000"/>
          <w:sz w:val="22"/>
        </w:rPr>
        <w:t xml:space="preserve">Initial permit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 proprietorship, corporation, partnership, limited liability company, or any other form of organization may apply for a permit to practice under Iowa Code section </w:t>
      </w:r>
      <w:hyperlink r:id="rId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may be completed and submitted through the online application process and provide sufficient information pursuant to Iowa Code section </w:t>
      </w:r>
      <w:hyperlink r:id="rId6">
        <w:r>
          <w:rPr>
            <w:rStyle w:val="Hyperlink"/>
            <w:rFonts w:ascii="Times New Roman" w:hAnsi="Times New Roman"/>
            <w:b w:val="false"/>
            <w:i w:val="false"/>
            <w:color w:val="000000"/>
            <w:sz w:val="22"/>
          </w:rPr>
          <w:t>542.8(12)</w:t>
        </w:r>
      </w:hyperlink>
      <w:r>
        <w:rPr>
          <w:rFonts w:ascii="Times New Roman" w:hAnsi="Times New Roman"/>
          <w:b w:val="false"/>
          <w:i w:val="false"/>
          <w:color w:val="000000"/>
          <w:sz w:val="22"/>
        </w:rPr>
        <w:t xml:space="preserve"> or certificates issued by the board under Iowa Code section </w:t>
      </w:r>
      <w:hyperlink r:id="rId7">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are eligible to practice under practice privilege pursuant to Iowa Code section </w:t>
      </w:r>
      <w:hyperlink r:id="rId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otherwise hold a license or certificate to practice public accounting in another state. At least one owner has to be licensed under Iowa Code section </w:t>
      </w:r>
      <w:hyperlink r:id="rId10">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val="false"/>
          <w:color w:val="000000"/>
          <w:sz w:val="22"/>
        </w:rPr>
        <w:t>The application will list the physical location and contact information for all offices within this state and the licensee in charge of each such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val="false"/>
          <w:color w:val="000000"/>
          <w:sz w:val="22"/>
        </w:rPr>
        <w:t>Fraud or deceit, by commission or omission, in obtaining a firm permit to practice is a ground for discipline, including permanent revocation of the firm’s permit to practice, the individual certificate of an Iowa LPA or CPA, or an individual’s practice privilege, as applicable to the entity or persons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or renewal application for a firm permit to practice may be denied pursuant to Iowa Code section </w:t>
      </w:r>
      <w:hyperlink r:id="rId11">
        <w:r>
          <w:rPr>
            <w:rStyle w:val="Hyperlink"/>
            <w:rFonts w:ascii="Times New Roman" w:hAnsi="Times New Roman"/>
            <w:b w:val="false"/>
            <w:i w:val="false"/>
            <w:color w:val="000000"/>
            <w:sz w:val="22"/>
          </w:rPr>
          <w:t>542.8(12)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193A—8.2</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r>
        <w:rPr>
          <w:rFonts w:ascii="Times New Roman" w:hAnsi="Times New Roman"/>
          <w:b w:val="false"/>
          <w:i w:val="false"/>
          <w:color w:val="000000"/>
          <w:sz w:val="22"/>
        </w:rPr>
        <w:t>The permit holder will submit an online renewal with the board by the June 30 deadline each year. Applications are deemed filed on the date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193A—8.3</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A firm that fails to renew the permit by the expiration date, but does so within 30 days following the expiration date, will be assessed a penalty of 25 percent of the annual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w:t>
      </w:r>
      <w:hyperlink r:id="rId12">
        <w:r>
          <w:rPr>
            <w:rStyle w:val="Hyperlink"/>
            <w:rFonts w:ascii="Times New Roman" w:hAnsi="Times New Roman"/>
            <w:b w:val="false"/>
            <w:i w:val="false"/>
            <w:color w:val="000000"/>
            <w:sz w:val="22"/>
          </w:rPr>
          <w:t>subrule 8.3(1)</w:t>
        </w:r>
      </w:hyperlink>
      <w:r>
        <w:rPr>
          <w:rFonts w:ascii="Times New Roman" w:hAnsi="Times New Roman"/>
          <w:b w:val="false"/>
          <w:i w:val="false"/>
          <w:color w:val="000000"/>
          <w:sz w:val="22"/>
        </w:rPr>
        <w:t xml:space="preserve">, the permit will lapse and the firm may then apply for reinstatement in accordance with </w:t>
      </w:r>
      <w:hyperlink r:id="rId13">
        <w:r>
          <w:rPr>
            <w:rStyle w:val="Hyperlink"/>
            <w:rFonts w:ascii="Times New Roman" w:hAnsi="Times New Roman"/>
            <w:b w:val="false"/>
            <w:i w:val="false"/>
            <w:color w:val="000000"/>
            <w:sz w:val="22"/>
          </w:rPr>
          <w:t>subrule 8.3(3)</w:t>
        </w:r>
      </w:hyperlink>
      <w:r>
        <w:rPr>
          <w:rFonts w:ascii="Times New Roman" w:hAnsi="Times New Roman"/>
          <w:b w:val="false"/>
          <w:i w:val="false"/>
          <w:color w:val="000000"/>
          <w:sz w:val="22"/>
        </w:rPr>
        <w:t>. The firm is not authorized to practice as an LPA firm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14">
        <w:r>
          <w:rPr>
            <w:rStyle w:val="Hyperlink"/>
            <w:rFonts w:ascii="Times New Roman" w:hAnsi="Times New Roman"/>
            <w:b w:val="false"/>
            <w:i w:val="false"/>
            <w:color w:val="000000"/>
            <w:sz w:val="22"/>
          </w:rPr>
          <w:t>193A—12.1</w:t>
        </w:r>
      </w:hyperlink>
      <w:r>
        <w:rPr>
          <w:rFonts w:ascii="Times New Roman" w:hAnsi="Times New Roman"/>
          <w:b w:val="false"/>
          <w:i w:val="false"/>
          <w:color w:val="000000"/>
          <w:sz w:val="22"/>
        </w:rPr>
        <w:t>(542). A written statement outlining the firm’s professional activities during the period of lapsed licensure is needed in this context.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The board may find probable cause to file charges for unlicensed practice if the firm continues to offer services defined as the practice of accounting while using the title “LPAs” or “LPA firm”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193A—8.4</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 to the board. </w:t>
      </w:r>
      <w:r>
        <w:rPr>
          <w:rFonts w:ascii="Times New Roman" w:hAnsi="Times New Roman"/>
          <w:b w:val="false"/>
          <w:i w:val="false"/>
          <w:color w:val="000000"/>
          <w:sz w:val="22"/>
        </w:rPr>
        <w:t xml:space="preserve">A holder of or an applicant for a permit will notify the board in writing within 30 days in compliance with Iowa Code section </w:t>
      </w:r>
      <w:hyperlink r:id="rId15">
        <w:r>
          <w:rPr>
            <w:rStyle w:val="Hyperlink"/>
            <w:rFonts w:ascii="Times New Roman" w:hAnsi="Times New Roman"/>
            <w:b w:val="false"/>
            <w:i w:val="false"/>
            <w:color w:val="000000"/>
            <w:sz w:val="22"/>
          </w:rPr>
          <w:t>542.8(15)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193A—8.5</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A firm which, after receiving or renewing a permit, is not in compliance with Iowa Code section </w:t>
      </w:r>
      <w:hyperlink r:id="rId1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as a result of a change in firm ownership or personnel will take corrective action to bring the firm back into compliance as quickly as possible or apply to modify or amend the permit. The board may grant a reasonable period of time, usually 90 days, for a firm to take such corrective action. Failure to comply within a reasonable period as deemed by the board will result in the suspension or revocation of the firm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193A—8.6</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 xml:space="preserve">Firm peer review is necessary pursuant to Iowa Code section </w:t>
      </w:r>
      <w:hyperlink r:id="rId17">
        <w:r>
          <w:rPr>
            <w:rStyle w:val="Hyperlink"/>
            <w:rFonts w:ascii="Times New Roman" w:hAnsi="Times New Roman"/>
            <w:b w:val="false"/>
            <w:i w:val="false"/>
            <w:color w:val="000000"/>
            <w:sz w:val="22"/>
          </w:rPr>
          <w:t>542.7(8)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2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7684C</w:t>
      </w:r>
      <w:r>
        <w:rPr>
          <w:rFonts w:ascii="Times New Roman" w:hAnsi="Times New Roman"/>
          <w:b w:val="false"/>
          <w:i w:val="false"/>
          <w:color w:val="000000"/>
          <w:sz w:val="21"/>
        </w:rPr>
        <w:t xml:space="preserve"> (Notice ARC 7391C,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6.pdf" Type="http://schemas.openxmlformats.org/officeDocument/2006/relationships/hyperlink" Id="rId7"/>
    <Relationship TargetMode="External" Target="https://www.legis.iowa.gov/docs/ico/chapter/542.19.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co/chapter/542.8.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ac/rule/193A.8.3.pdf" Type="http://schemas.openxmlformats.org/officeDocument/2006/relationships/hyperlink" Id="rId12"/>
    <Relationship TargetMode="External" Target="https://www.legis.iowa.gov/docs/iac/rule/193A.8.3.pdf" Type="http://schemas.openxmlformats.org/officeDocument/2006/relationships/hyperlink" Id="rId13"/>
    <Relationship TargetMode="External" Target="https://www.legis.iowa.gov/docs/iac/rule/193A.12.1.pdf" Type="http://schemas.openxmlformats.org/officeDocument/2006/relationships/hyperlink" Id="rId14"/>
    <Relationship TargetMode="External" Target="https://www.legis.iowa.gov/docs/ico/chapter/542.8.pdf" Type="http://schemas.openxmlformats.org/officeDocument/2006/relationships/hyperlink" Id="rId15"/>
    <Relationship TargetMode="External" Target="https://www.legis.iowa.gov/docs/ico/chapter/542.8.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72C.pdf" Type="http://schemas.openxmlformats.org/officeDocument/2006/relationships/hyperlink" Id="rId19"/>
    <Relationship TargetMode="External" Target="https://www.legis.iowa.gov/docs/ico/chapter/542.pdf" Type="http://schemas.openxmlformats.org/officeDocument/2006/relationships/hyperlink" Id="rId20"/>
    <Relationship TargetMode="External" Target="https://www.legis.iowa.gov/docs/ico/chapter/10A.506.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