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CERTIFIED PUBLIC ACCOUNTING FIRMS</w:t>
      </w:r>
    </w:p>
    <w:p>
      <w:pPr>
        <w:spacing w:before="0" w:after="0"/>
        <w:ind w:left="120"/>
        <w:jc w:val="center"/>
      </w:pPr>
      <w:r>
        <w:rPr>
          <w:rFonts w:ascii="Times New Roman" w:hAnsi="Times New Roman"/>
          <w:b w:val="false"/>
          <w:i w:val="false"/>
          <w:color w:val="000000"/>
          <w:sz w:val="14"/>
        </w:rPr>
        <w:t>[Prior to 5/1/02, see 193A—Chapter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193A—7.1</w:t>
      </w:r>
      <w:r>
        <w:rPr>
          <w:rFonts w:ascii="Times New Roman" w:hAnsi="Times New Roman"/>
          <w:b/>
          <w:i w:val="false"/>
          <w:color w:val="000000"/>
          <w:sz w:val="22"/>
        </w:rPr>
        <w:t xml:space="preserve">(542) </w:t>
      </w:r>
      <w:r>
        <w:rPr>
          <w:rFonts w:ascii="Times New Roman" w:hAnsi="Times New Roman"/>
          <w:b/>
          <w:i w:val="false"/>
          <w:color w:val="000000"/>
          <w:sz w:val="22"/>
        </w:rPr>
        <w:t xml:space="preserve">When licensure is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5">
        <w:r>
          <w:rPr>
            <w:rStyle w:val="Hyperlink"/>
            <w:rFonts w:ascii="Times New Roman" w:hAnsi="Times New Roman"/>
            <w:b w:val="false"/>
            <w:i w:val="false"/>
            <w:color w:val="000000"/>
            <w:sz w:val="22"/>
          </w:rPr>
          <w:t>193A—Chapter 21</w:t>
        </w:r>
      </w:hyperlink>
      <w:r>
        <w:rPr>
          <w:rFonts w:ascii="Times New Roman" w:hAnsi="Times New Roman"/>
          <w:b w:val="false"/>
          <w:i w:val="false"/>
          <w:color w:val="000000"/>
          <w:sz w:val="22"/>
        </w:rPr>
        <w:t xml:space="preserve">, a sole proprietorship, corporation, partnership, limited liability company, or any other form of organization is obligated to apply for a permit to practice as a firm of certified public accountants pursuant to Iowa Code section </w:t>
      </w:r>
      <w:hyperlink r:id="rId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that is not subject to </w:t>
      </w:r>
      <w:hyperlink r:id="rId7">
        <w:r>
          <w:rPr>
            <w:rStyle w:val="Hyperlink"/>
            <w:rFonts w:ascii="Times New Roman" w:hAnsi="Times New Roman"/>
            <w:b w:val="false"/>
            <w:i w:val="false"/>
            <w:color w:val="000000"/>
            <w:sz w:val="22"/>
          </w:rPr>
          <w:t>subrule 7.1(1)</w:t>
        </w:r>
      </w:hyperlink>
      <w:r>
        <w:rPr>
          <w:rFonts w:ascii="Times New Roman" w:hAnsi="Times New Roman"/>
          <w:b w:val="false"/>
          <w:i w:val="false"/>
          <w:color w:val="000000"/>
          <w:sz w:val="22"/>
        </w:rPr>
        <w:t xml:space="preserve"> may practice public accounting in Iowa in accordance with Iowa Code section </w:t>
      </w:r>
      <w:hyperlink r:id="rId8">
        <w:r>
          <w:rPr>
            <w:rStyle w:val="Hyperlink"/>
            <w:rFonts w:ascii="Times New Roman" w:hAnsi="Times New Roman"/>
            <w:b w:val="false"/>
            <w:i w:val="false"/>
            <w:color w:val="000000"/>
            <w:sz w:val="22"/>
          </w:rPr>
          <w:t>542.7(1)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individual Iowa licensure is needed by a government body or a client, the public accounting services provided by a CPA firm holding an Iowa permit to practice may be performed in Iowa or for a client with a home office in Iowa by Iowa CPAs or wholly by persons exercising a practice privilege under Iowa Code section </w:t>
      </w:r>
      <w:hyperlink r:id="rId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A CPA firm issued a permit to practice by the board is accountable to the board and subject to discipline by the board for the acts of its owners or other agents, pursuant to </w:t>
      </w:r>
      <w:hyperlink r:id="rId10">
        <w:r>
          <w:rPr>
            <w:rStyle w:val="Hyperlink"/>
            <w:rFonts w:ascii="Times New Roman" w:hAnsi="Times New Roman"/>
            <w:b w:val="false"/>
            <w:i w:val="false"/>
            <w:color w:val="000000"/>
            <w:sz w:val="22"/>
          </w:rPr>
          <w:t>193A—subrule 14.2(4)</w:t>
        </w:r>
      </w:hyperlink>
      <w:r>
        <w:rPr>
          <w:rFonts w:ascii="Times New Roman" w:hAnsi="Times New Roman"/>
          <w:b w:val="false"/>
          <w:i w:val="false"/>
          <w:color w:val="000000"/>
          <w:sz w:val="22"/>
        </w:rPr>
        <w:t>, whether or not such persons are individually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193A—7.2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All applications are submitted through the board’s online application process. The board will only process fully completed applications accompanied by the proper fee. Each application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An initial or renewal application for a firm permit to practice may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542.7(3)</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firm’s failure to comply with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a failure to sustain the simple majority of ownership obligations of Iowa Code section </w:t>
      </w:r>
      <w:hyperlink r:id="rId13">
        <w:r>
          <w:rPr>
            <w:rStyle w:val="Hyperlink"/>
            <w:rFonts w:ascii="Times New Roman" w:hAnsi="Times New Roman"/>
            <w:b w:val="false"/>
            <w:i w:val="false"/>
            <w:color w:val="000000"/>
            <w:sz w:val="22"/>
          </w:rPr>
          <w:t>542.7(3)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a regulatory or disciplinary action or, to the extent applicable and subject to the limitations and processes set forth at Iowa Code section </w:t>
      </w:r>
      <w:hyperlink r:id="rId14">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corresponding implementing rules located at </w:t>
      </w:r>
      <w:hyperlink r:id="rId15">
        <w:r>
          <w:rPr>
            <w:rStyle w:val="Hyperlink"/>
            <w:rFonts w:ascii="Times New Roman" w:hAnsi="Times New Roman"/>
            <w:b w:val="false"/>
            <w:i w:val="false"/>
            <w:color w:val="000000"/>
            <w:sz w:val="22"/>
          </w:rPr>
          <w:t>193—Chapter 15</w:t>
        </w:r>
      </w:hyperlink>
      <w:r>
        <w:rPr>
          <w:rFonts w:ascii="Times New Roman" w:hAnsi="Times New Roman"/>
          <w:b w:val="false"/>
          <w:i w:val="false"/>
          <w:color w:val="000000"/>
          <w:sz w:val="22"/>
        </w:rPr>
        <w:t xml:space="preserve">, a criminal conviction described in </w:t>
      </w:r>
      <w:hyperlink r:id="rId16">
        <w:r>
          <w:rPr>
            <w:rStyle w:val="Hyperlink"/>
            <w:rFonts w:ascii="Times New Roman" w:hAnsi="Times New Roman"/>
            <w:b w:val="false"/>
            <w:i w:val="false"/>
            <w:color w:val="000000"/>
            <w:sz w:val="22"/>
          </w:rPr>
          <w:t>subrules 7.3(14)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7.3(15)</w:t>
        </w:r>
      </w:hyperlink>
      <w:r>
        <w:rPr>
          <w:rFonts w:ascii="Times New Roman" w:hAnsi="Times New Roman"/>
          <w:b w:val="false"/>
          <w:i w:val="false"/>
          <w:color w:val="000000"/>
          <w:sz w:val="22"/>
        </w:rPr>
        <w:t xml:space="preserve"> against any of the firm’s licensed or unlicensed 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193A—7.3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Applicants for a firm permit to practice will provide information requested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The lawful name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The legal form and jurisdiction of the firm’s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principal place of business of the firm and each Iowa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All jurisdictions in which the firm is licensed or has applied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The names, licensure, and contact information for all persons responsible for supervising attest and compilation service or responsible for the proper licensure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The highest level of public accounting services offered by the firm, such as compilation or attest.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val="false"/>
          <w:color w:val="000000"/>
          <w:sz w:val="22"/>
        </w:rPr>
        <w:t>Evidence of satisfactory completion of the last firm peer review,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w:t>
      </w:r>
      <w:r>
        <w:rPr>
          <w:rFonts w:ascii="Times New Roman" w:hAnsi="Times New Roman"/>
          <w:b w:val="false"/>
          <w:i w:val="false"/>
          <w:color w:val="000000"/>
          <w:sz w:val="22"/>
        </w:rPr>
        <w:t> </w:t>
      </w:r>
      <w:r>
        <w:rPr>
          <w:rFonts w:ascii="Times New Roman" w:hAnsi="Times New Roman"/>
          <w:b w:val="false"/>
          <w:i w:val="false"/>
          <w:color w:val="000000"/>
          <w:sz w:val="22"/>
        </w:rPr>
        <w:t xml:space="preserve">Sufficient information from which the board can determine that a simple majority of owners hold a CPA certificate under Iowa Code section </w:t>
      </w:r>
      <w:hyperlink r:id="rId18">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hold a CPA certificate in another state and are eligible to exercise a practice privilege under Iowa Code section </w:t>
      </w:r>
      <w:hyperlink r:id="rId2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board reserves the right to request at any time a full list of owners, or a targeted sublist, such as a list of those persons who perform services from an Iowa office or those who perform attest or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affirmation described in </w:t>
      </w:r>
      <w:hyperlink r:id="rId21">
        <w:r>
          <w:rPr>
            <w:rStyle w:val="Hyperlink"/>
            <w:rFonts w:ascii="Times New Roman" w:hAnsi="Times New Roman"/>
            <w:b w:val="false"/>
            <w:i w:val="false"/>
            <w:color w:val="000000"/>
            <w:sz w:val="22"/>
          </w:rPr>
          <w:t>193A—paragraph 6.3(3)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who are responsible for supervising attest services for the CPA firm or who sign or authorize someone to sign the accountant’s report on behalf of the CPA firm satisfy the experience or competency standards established by nationally recognized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or LPAs who are responsible for supervising compilation services or who sign or authorize someone to sign the accountant’s compilation report on behalf of the firm comply with nationally recognized professional standards that are applicable to the compilation services performed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val="false"/>
          <w:color w:val="000000"/>
          <w:sz w:val="22"/>
        </w:rPr>
        <w:t>Affirmation that all nonlicensee owners are active participants in the firm or affiliated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val="false"/>
          <w:color w:val="000000"/>
          <w:sz w:val="22"/>
        </w:rPr>
        <w:t>Affirmation that the firm and its licensed or unlicensed owners will comply with all applicable Iowa laws and rules, including rules of professional conduct, when practicing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val="false"/>
          <w:color w:val="000000"/>
          <w:sz w:val="22"/>
        </w:rPr>
        <w:t>Details of any past denial, cancellation, revocation, suspension, refusal to renew, or voluntary surrender of a professional license of any kind, authority to practice, or practice privilege by the board or another state agency in any jurisdiction, a federal agency, or the PCAOB, regarding the firm and the firm’s current owners (e.g., partners, shareholders,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any past felony conviction or the conviction of any crime, any element of which is dishonesty or fraud, as provided in Iowa Code section </w:t>
      </w:r>
      <w:hyperlink r:id="rId22">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under the laws of any state or the United States, regarding the firm and the firm’s current owners (e.g., partners, shareholders, or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193A—7.4</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submit an electronic online renewal by the June 30 deadline each year. Applications are deemed filed on the date of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will list on the renewal application all states in which the applicant has applied for or holds a permit as a certified public accounting firm and list any past denial, revocation, suspension, refusal to renew or voluntary surrender to avoid disciplinary action of a permit to practice or practice privilege. Renewal applications include such additional information as the board needs, including all of the information described in rule </w:t>
      </w:r>
      <w:hyperlink r:id="rId23">
        <w:r>
          <w:rPr>
            <w:rStyle w:val="Hyperlink"/>
            <w:rFonts w:ascii="Times New Roman" w:hAnsi="Times New Roman"/>
            <w:b w:val="false"/>
            <w:i w:val="false"/>
            <w:color w:val="000000"/>
            <w:sz w:val="22"/>
          </w:rPr>
          <w:t>193A—7.3</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 accompanied with the proper fee. The fee will be deemed improper if, for instance,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 or a closed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193A—7.5</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that fails to renew the permit by the expiration date, but does so within 30 days following the expiration date, will be assessed a penalty as provided in rule </w:t>
      </w:r>
      <w:hyperlink r:id="rId27">
        <w:r>
          <w:rPr>
            <w:rStyle w:val="Hyperlink"/>
            <w:rFonts w:ascii="Times New Roman" w:hAnsi="Times New Roman"/>
            <w:b w:val="false"/>
            <w:i w:val="false"/>
            <w:color w:val="000000"/>
            <w:sz w:val="22"/>
          </w:rPr>
          <w:t>193A—12.1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rule </w:t>
      </w:r>
      <w:hyperlink r:id="rId28">
        <w:r>
          <w:rPr>
            <w:rStyle w:val="Hyperlink"/>
            <w:rFonts w:ascii="Times New Roman" w:hAnsi="Times New Roman"/>
            <w:b w:val="false"/>
            <w:i w:val="false"/>
            <w:color w:val="000000"/>
            <w:sz w:val="22"/>
          </w:rPr>
          <w:t>193A—7.6</w:t>
        </w:r>
      </w:hyperlink>
      <w:r>
        <w:rPr>
          <w:rFonts w:ascii="Times New Roman" w:hAnsi="Times New Roman"/>
          <w:b w:val="false"/>
          <w:i w:val="false"/>
          <w:color w:val="000000"/>
          <w:sz w:val="22"/>
        </w:rPr>
        <w:t xml:space="preserve">(542), the permit will lapse and the firm will need to reinstate in accordance with rule </w:t>
      </w:r>
      <w:hyperlink r:id="rId29">
        <w:r>
          <w:rPr>
            <w:rStyle w:val="Hyperlink"/>
            <w:rFonts w:ascii="Times New Roman" w:hAnsi="Times New Roman"/>
            <w:b w:val="false"/>
            <w:i w:val="false"/>
            <w:color w:val="000000"/>
            <w:sz w:val="22"/>
          </w:rPr>
          <w:t>193A—7.7</w:t>
        </w:r>
      </w:hyperlink>
      <w:r>
        <w:rPr>
          <w:rFonts w:ascii="Times New Roman" w:hAnsi="Times New Roman"/>
          <w:b w:val="false"/>
          <w:i w:val="false"/>
          <w:color w:val="000000"/>
          <w:sz w:val="22"/>
        </w:rPr>
        <w:t>(542). The firm is not authorized to practice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30">
        <w:r>
          <w:rPr>
            <w:rStyle w:val="Hyperlink"/>
            <w:rFonts w:ascii="Times New Roman" w:hAnsi="Times New Roman"/>
            <w:b w:val="false"/>
            <w:i w:val="false"/>
            <w:color w:val="000000"/>
            <w:sz w:val="22"/>
          </w:rPr>
          <w:t>193A—12.1</w:t>
        </w:r>
      </w:hyperlink>
      <w:r>
        <w:rPr>
          <w:rFonts w:ascii="Times New Roman" w:hAnsi="Times New Roman"/>
          <w:b w:val="false"/>
          <w:i w:val="false"/>
          <w:color w:val="000000"/>
          <w:sz w:val="22"/>
        </w:rPr>
        <w:t>(542). A written statement outlining the firm’s professional activities during the period of lapsed licensure, including a list of Iowa clients and the services performed, is also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find probable cause to file charges for unlicensed practice if the firm engaged in any activity that obligates licensure pursuant to </w:t>
      </w:r>
      <w:hyperlink r:id="rId31">
        <w:r>
          <w:rPr>
            <w:rStyle w:val="Hyperlink"/>
            <w:rFonts w:ascii="Times New Roman" w:hAnsi="Times New Roman"/>
            <w:b w:val="false"/>
            <w:i w:val="false"/>
            <w:color w:val="000000"/>
            <w:sz w:val="22"/>
          </w:rPr>
          <w:t>subrule 7.1(1)</w:t>
        </w:r>
      </w:hyperlink>
      <w:r>
        <w:rPr>
          <w:rFonts w:ascii="Times New Roman" w:hAnsi="Times New Roman"/>
          <w:b w:val="false"/>
          <w:i w:val="false"/>
          <w:color w:val="000000"/>
          <w:sz w:val="22"/>
        </w:rPr>
        <w:t xml:space="preserve"> during the period of lapsed licensure. In addition to the disciplinary sanctions described in rule </w:t>
      </w:r>
      <w:hyperlink r:id="rId32">
        <w:r>
          <w:rPr>
            <w:rStyle w:val="Hyperlink"/>
            <w:rFonts w:ascii="Times New Roman" w:hAnsi="Times New Roman"/>
            <w:b w:val="false"/>
            <w:i w:val="false"/>
            <w:color w:val="000000"/>
            <w:sz w:val="22"/>
          </w:rPr>
          <w:t>193A—16.3</w:t>
        </w:r>
      </w:hyperlink>
      <w:r>
        <w:rPr>
          <w:rFonts w:ascii="Times New Roman" w:hAnsi="Times New Roman"/>
          <w:b w:val="false"/>
          <w:i w:val="false"/>
          <w:color w:val="000000"/>
          <w:sz w:val="22"/>
        </w:rPr>
        <w:t xml:space="preserve">(272C,542), firms found to have practiced public accounting in violation of </w:t>
      </w:r>
      <w:hyperlink r:id="rId33">
        <w:r>
          <w:rPr>
            <w:rStyle w:val="Hyperlink"/>
            <w:rFonts w:ascii="Times New Roman" w:hAnsi="Times New Roman"/>
            <w:b w:val="false"/>
            <w:i w:val="false"/>
            <w:color w:val="000000"/>
            <w:sz w:val="22"/>
          </w:rPr>
          <w:t>subrule 7.1(1)</w:t>
        </w:r>
      </w:hyperlink>
      <w:r>
        <w:rPr>
          <w:rFonts w:ascii="Times New Roman" w:hAnsi="Times New Roman"/>
          <w:b w:val="false"/>
          <w:i w:val="false"/>
          <w:color w:val="000000"/>
          <w:sz w:val="22"/>
        </w:rPr>
        <w:t xml:space="preserve"> on a lapsed license will notify clients upon such terms as the board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193A—7.6</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 to the board. </w:t>
      </w:r>
      <w:r>
        <w:rPr>
          <w:rFonts w:ascii="Times New Roman" w:hAnsi="Times New Roman"/>
          <w:b w:val="false"/>
          <w:i w:val="false"/>
          <w:color w:val="000000"/>
          <w:sz w:val="22"/>
        </w:rPr>
        <w:t xml:space="preserve">A holder of or applicant for a permit shall notify the board in writing within 30 days of an occurrence described in Iowa Code section </w:t>
      </w:r>
      <w:hyperlink r:id="rId34">
        <w:r>
          <w:rPr>
            <w:rStyle w:val="Hyperlink"/>
            <w:rFonts w:ascii="Times New Roman" w:hAnsi="Times New Roman"/>
            <w:b w:val="false"/>
            <w:i w:val="false"/>
            <w:color w:val="000000"/>
            <w:sz w:val="22"/>
          </w:rPr>
          <w:t>542.7(6)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193A—7.7</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The board may grant a reasonable period of time, usually 90 days, for a firm to take such corrective action pursuant to Iowa Code section </w:t>
      </w:r>
      <w:hyperlink r:id="rId35">
        <w:r>
          <w:rPr>
            <w:rStyle w:val="Hyperlink"/>
            <w:rFonts w:ascii="Times New Roman" w:hAnsi="Times New Roman"/>
            <w:b w:val="false"/>
            <w:i w:val="false"/>
            <w:color w:val="000000"/>
            <w:sz w:val="22"/>
          </w:rPr>
          <w:t>542.7(7)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9">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7683C</w:t>
      </w:r>
      <w:r>
        <w:rPr>
          <w:rFonts w:ascii="Times New Roman" w:hAnsi="Times New Roman"/>
          <w:b w:val="false"/>
          <w:i w:val="false"/>
          <w:color w:val="000000"/>
          <w:sz w:val="21"/>
        </w:rPr>
        <w:t xml:space="preserve"> (Notice ARC 7390C,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3A.21.pdf" Type="http://schemas.openxmlformats.org/officeDocument/2006/relationships/hyperlink" Id="rId5"/>
    <Relationship TargetMode="External" Target="https://www.legis.iowa.gov/docs/ico/chapter/542.7.pdf" Type="http://schemas.openxmlformats.org/officeDocument/2006/relationships/hyperlink" Id="rId6"/>
    <Relationship TargetMode="External" Target="https://www.legis.iowa.gov/docs/iac/rule/193A.7.1.pdf" Type="http://schemas.openxmlformats.org/officeDocument/2006/relationships/hyperlink" Id="rId7"/>
    <Relationship TargetMode="External" Target="https://www.legis.iowa.gov/docs/ico/chapter/542.7.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ac/rule/193A.14.2.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272C.15.pdf" Type="http://schemas.openxmlformats.org/officeDocument/2006/relationships/hyperlink" Id="rId14"/>
    <Relationship TargetMode="External" Target="https://www.legis.iowa.gov/docs/iac/chapter/193.15.pdf" Type="http://schemas.openxmlformats.org/officeDocument/2006/relationships/hyperlink" Id="rId15"/>
    <Relationship TargetMode="External" Target="https://www.legis.iowa.gov/docs/iac/rule/193A.7.3.pdf" Type="http://schemas.openxmlformats.org/officeDocument/2006/relationships/hyperlink" Id="rId16"/>
    <Relationship TargetMode="External" Target="https://www.legis.iowa.gov/docs/iac/rule/193A.7.3.pdf" Type="http://schemas.openxmlformats.org/officeDocument/2006/relationships/hyperlink" Id="rId17"/>
    <Relationship TargetMode="External" Target="https://www.legis.iowa.gov/docs/ico/chapter/542.6.pdf" Type="http://schemas.openxmlformats.org/officeDocument/2006/relationships/hyperlink" Id="rId18"/>
    <Relationship TargetMode="External" Target="https://www.legis.iowa.gov/docs/ico/chapter/542.19.pdf" Type="http://schemas.openxmlformats.org/officeDocument/2006/relationships/hyperlink" Id="rId19"/>
    <Relationship TargetMode="External" Target="https://www.legis.iowa.gov/docs/ico/chapter/542.20.pdf" Type="http://schemas.openxmlformats.org/officeDocument/2006/relationships/hyperlink" Id="rId20"/>
    <Relationship TargetMode="External" Target="https://www.legis.iowa.gov/docs/iac/rule/193A.6.3.pdf" Type="http://schemas.openxmlformats.org/officeDocument/2006/relationships/hyperlink" Id="rId21"/>
    <Relationship TargetMode="External" Target="https://www.legis.iowa.gov/docs/ico/chapter/542.5.pdf" Type="http://schemas.openxmlformats.org/officeDocument/2006/relationships/hyperlink" Id="rId22"/>
    <Relationship TargetMode="External" Target="https://www.legis.iowa.gov/docs/iac/rule/193A.7.3.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2.pdf" Type="http://schemas.openxmlformats.org/officeDocument/2006/relationships/hyperlink" Id="rId26"/>
    <Relationship TargetMode="External" Target="https://www.legis.iowa.gov/docs/iac/rule/193A.12.1.pdf" Type="http://schemas.openxmlformats.org/officeDocument/2006/relationships/hyperlink" Id="rId27"/>
    <Relationship TargetMode="External" Target="https://www.legis.iowa.gov/docs/iac/rule/193A.7.6.pdf" Type="http://schemas.openxmlformats.org/officeDocument/2006/relationships/hyperlink" Id="rId28"/>
    <Relationship TargetMode="External" Target="https://www.legis.iowa.gov/docs/iac/rule/193A.7.7.pdf" Type="http://schemas.openxmlformats.org/officeDocument/2006/relationships/hyperlink" Id="rId29"/>
    <Relationship TargetMode="External" Target="https://www.legis.iowa.gov/docs/iac/rule/193A.12.1.pdf" Type="http://schemas.openxmlformats.org/officeDocument/2006/relationships/hyperlink" Id="rId30"/>
    <Relationship TargetMode="External" Target="https://www.legis.iowa.gov/docs/iac/rule/193A.7.1.pdf" Type="http://schemas.openxmlformats.org/officeDocument/2006/relationships/hyperlink" Id="rId31"/>
    <Relationship TargetMode="External" Target="https://www.legis.iowa.gov/docs/iac/rule/193A.16.3.pdf" Type="http://schemas.openxmlformats.org/officeDocument/2006/relationships/hyperlink" Id="rId32"/>
    <Relationship TargetMode="External" Target="https://www.legis.iowa.gov/docs/iac/rule/193A.7.1.pdf" Type="http://schemas.openxmlformats.org/officeDocument/2006/relationships/hyperlink" Id="rId33"/>
    <Relationship TargetMode="External" Target="https://www.legis.iowa.gov/docs/ico/chapter/542.7.pdf" Type="http://schemas.openxmlformats.org/officeDocument/2006/relationships/hyperlink" Id="rId34"/>
    <Relationship TargetMode="External" Target="https://www.legis.iowa.gov/docs/ico/chapter/542.7.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72C.pdf" Type="http://schemas.openxmlformats.org/officeDocument/2006/relationships/hyperlink" Id="rId37"/>
    <Relationship TargetMode="External" Target="https://www.legis.iowa.gov/docs/ico/chapter/542.pdf" Type="http://schemas.openxmlformats.org/officeDocument/2006/relationships/hyperlink" Id="rId38"/>
    <Relationship TargetMode="External" Target="https://www.legis.iowa.gov/docs/ico/chapter/10A.506.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