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ATTEST AND COMPILATION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193A—6.1</w:t>
      </w:r>
      <w:r>
        <w:rPr>
          <w:rFonts w:ascii="Times New Roman" w:hAnsi="Times New Roman"/>
          <w:b/>
          <w:i w:val="false"/>
          <w:color w:val="000000"/>
          <w:sz w:val="22"/>
        </w:rPr>
        <w:t xml:space="preserve">(542) </w:t>
      </w:r>
      <w:r>
        <w:rPr>
          <w:rFonts w:ascii="Times New Roman" w:hAnsi="Times New Roman"/>
          <w:b/>
          <w:i w:val="false"/>
          <w:color w:val="000000"/>
          <w:sz w:val="22"/>
        </w:rPr>
        <w:t xml:space="preserve">Who may perform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may perform audit, review, or other attest services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an actively licensed attest-certified Iowa CPA or an out-of-state licensee exercising a practice privilege under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perform attest services in Iowa or for a client with a home office in Iowa. CPAs are cautioned, however, that a government body or a client may obligate that an individual be licensed in Iowa as a condition of performing attest services in Iowa or for a client with a home office in Iowa, whether or not the individual may otherwise satisfy the conditions for a practice privilege. Iowa licensure as a certified public accountant is a precondition, for example, to perform certain audit services described in Iowa Code chapter </w:t>
      </w:r>
      <w:hyperlink r:id="rId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performing attest services, whether the CPAs are certified in Iowa or exercising a practice privilege, may only do so in a CPA firm that holds a permit to practice pursuant to Iowa Code section </w:t>
      </w:r>
      <w:hyperlink r:id="rId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in an out-of-state CPA firm exercising a practice privilege in compliance with Iowa Code section </w:t>
      </w:r>
      <w:hyperlink r:id="rId9">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val="false"/>
          <w:color w:val="000000"/>
          <w:sz w:val="22"/>
        </w:rPr>
        <w:t>CPAs who are responsible for supervising attest services for a CPA firm or who sign or authorize someone to sign the accountant’s report on behalf of a CPA firm are obligated to satisfy the experience or competency obligations established by nationally recognized professional standards that are applicable to the attest services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193A—6.2</w:t>
      </w:r>
      <w:r>
        <w:rPr>
          <w:rFonts w:ascii="Times New Roman" w:hAnsi="Times New Roman"/>
          <w:b/>
          <w:i w:val="false"/>
          <w:color w:val="000000"/>
          <w:sz w:val="22"/>
        </w:rPr>
        <w:t xml:space="preserve">(542) </w:t>
      </w:r>
      <w:r>
        <w:rPr>
          <w:rFonts w:ascii="Times New Roman" w:hAnsi="Times New Roman"/>
          <w:b/>
          <w:i w:val="false"/>
          <w:color w:val="000000"/>
          <w:sz w:val="22"/>
        </w:rPr>
        <w:t xml:space="preserve">Necessary attest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A CPA who is responsible for supervising attest services or who signs or authorizes someone to sign the accountant’s report on behalf of a firm is obligated to have two years of full-time or part-time equivalent experience that extends over a period of no less than two years and includes no fewer than 4,000 hours, including at least 2,000 hours providing attest services under the supervision of one or more CPAs responsible for supervising attest services on behalf of a CPA firm that holds a permit to practice in Iowa or an equivalent form of CPA firm licensure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Experience needs to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Experience in applying a variety of attest procedures and techniques to the usual and customary financial transactions recorded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attest working papers covering the examination of the accounts usually found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 in the planning of the program of attest work, including the selection of the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written explanations and comments on the findings of the examinations and on the content of the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and analysis of reports and financial statements together with explanations and notes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Attest experience is verified by the applicant and by a CPA who supervised the applicant or, if a supervising CPA is unavailable, by a CPA or CPA firm with sufficient factual documentation to verify the applicant’s attest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Any applicant or CPA who has been requested to submit to the board evidence of an applicant’s attest experience and has refused to do so will, upon request by the board, explain in writing or in person the basis for the refusal. The board may obligate any applicant or CPA who furnished the evidence of an applicant’s experience to substantiate the information provided. An applicant may be obligated to appear before the board to supplement or verify evidence of experience. 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193A—6.3</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 qualification is necessary before a CPA may perform attest services in Iowa or for a client with a home office in Iowa. “Attest qualification” or “attest qualified” means that the CPA has satisfied the experience obligations of rule </w:t>
      </w:r>
      <w:hyperlink r:id="rId12">
        <w:r>
          <w:rPr>
            <w:rStyle w:val="Hyperlink"/>
            <w:rFonts w:ascii="Times New Roman" w:hAnsi="Times New Roman"/>
            <w:b w:val="false"/>
            <w:i w:val="false"/>
            <w:color w:val="000000"/>
            <w:sz w:val="22"/>
          </w:rPr>
          <w:t>193A—6.2</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All CPAs who held an individual permit to practice in Iowa at any point prior to July 1, 2002, are deemed to be attest qualified. Under Iowa law prior to July 1, 2002, CPAs were only issued an individual permit to practice if they verified their qualification to perform attest services. Individual permits to practice were discontinued under Iowa law effective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CPAs who did not hold a permit to practice prior to July 1, 2002, may attain or establish attest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apply for attest qualification when initially applying for a certificate as an Iowa CPA under Iowa Code section </w:t>
      </w:r>
      <w:hyperlink r:id="rId13">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when applying for reciprocal Iowa certification under Iowa Code section </w:t>
      </w:r>
      <w:hyperlink r:id="rId14">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CPA certificate holders may apply for attest qualification at any time at which they are qualified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CPAs performing attest services while exercising a practice privilege under Iowa Code section </w:t>
      </w:r>
      <w:hyperlink r:id="rId1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do not have to individually apply to the board for attest qualification. However,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CPAs perform attest services in an Iowa CPA firm, the Iowa CPA firm will affirm when applying for an initial or renewal firm permit to practice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 attest services through an out-of-state CPA firm exercising a practice privilege, the out-of-state CPA firm will affirm upon request from the board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193A—6.4</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licensed by the board under Iowa Code section </w:t>
      </w:r>
      <w:hyperlink r:id="rId1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by the board under Iowa Code section </w:t>
      </w:r>
      <w:hyperlink r:id="rId1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person exercising a practice privilege under Iowa Code section </w:t>
      </w:r>
      <w:hyperlink r:id="rId1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described in </w:t>
      </w:r>
      <w:hyperlink r:id="rId20">
        <w:r>
          <w:rPr>
            <w:rStyle w:val="Hyperlink"/>
            <w:rFonts w:ascii="Times New Roman" w:hAnsi="Times New Roman"/>
            <w:b w:val="false"/>
            <w:i w:val="false"/>
            <w:color w:val="000000"/>
            <w:sz w:val="22"/>
          </w:rPr>
          <w:t>subrule 6.4(1)</w:t>
        </w:r>
      </w:hyperlink>
      <w:r>
        <w:rPr>
          <w:rFonts w:ascii="Times New Roman" w:hAnsi="Times New Roman"/>
          <w:b w:val="false"/>
          <w:i w:val="false"/>
          <w:color w:val="000000"/>
          <w:sz w:val="22"/>
        </w:rPr>
        <w:t xml:space="preserve"> may perform compilation services through a CPA firm that holds a permit to practice under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 LPA firm that holds a permit to practice under Iowa Code section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 CPA firm exercising a practice privilege under Iowa Code section </w:t>
      </w:r>
      <w:hyperlink r:id="rId2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if both the individual and business comply with Iowa Code section </w:t>
      </w:r>
      <w:hyperlink r:id="rId24">
        <w:r>
          <w:rPr>
            <w:rStyle w:val="Hyperlink"/>
            <w:rFonts w:ascii="Times New Roman" w:hAnsi="Times New Roman"/>
            <w:b w:val="false"/>
            <w:i w:val="false"/>
            <w:color w:val="000000"/>
            <w:sz w:val="22"/>
          </w:rPr>
          <w:t>542.13(13)</w:t>
        </w:r>
      </w:hyperlink>
      <w:r>
        <w:rPr>
          <w:rFonts w:ascii="Times New Roman" w:hAnsi="Times New Roman"/>
          <w:b w:val="false"/>
          <w:i w:val="false"/>
          <w:color w:val="000000"/>
          <w:sz w:val="22"/>
        </w:rPr>
        <w:t>, through any other form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w:t>
      </w:r>
      <w:hyperlink r:id="rId25">
        <w:r>
          <w:rPr>
            <w:rStyle w:val="Hyperlink"/>
            <w:rFonts w:ascii="Times New Roman" w:hAnsi="Times New Roman"/>
            <w:b w:val="false"/>
            <w:i w:val="false"/>
            <w:color w:val="000000"/>
            <w:sz w:val="22"/>
          </w:rPr>
          <w:t>subrule 6.4(1)</w:t>
        </w:r>
      </w:hyperlink>
      <w:r>
        <w:rPr>
          <w:rFonts w:ascii="Times New Roman" w:hAnsi="Times New Roman"/>
          <w:b w:val="false"/>
          <w:i w:val="false"/>
          <w:color w:val="000000"/>
          <w:sz w:val="22"/>
        </w:rPr>
        <w:t xml:space="preserve"> who are responsible for supervising compilation services or who will sign or authorize someone to sign the accountant’s compilation report on financial statements, as such compilation services will be performed in Iowa or for a client with a home office in Iowa, are obligated to comply with the nationally recognized professional standards that are applicable to compilation services, including SSARS.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w:t>
      </w:r>
      <w:hyperlink r:id="rId26">
        <w:r>
          <w:rPr>
            <w:rStyle w:val="Hyperlink"/>
            <w:rFonts w:ascii="Times New Roman" w:hAnsi="Times New Roman"/>
            <w:b w:val="false"/>
            <w:i w:val="false"/>
            <w:color w:val="000000"/>
            <w:sz w:val="22"/>
          </w:rPr>
          <w:t>subrule 6.4(1)</w:t>
        </w:r>
      </w:hyperlink>
      <w:r>
        <w:rPr>
          <w:rFonts w:ascii="Times New Roman" w:hAnsi="Times New Roman"/>
          <w:b w:val="false"/>
          <w:i w:val="false"/>
          <w:color w:val="000000"/>
          <w:sz w:val="22"/>
        </w:rPr>
        <w:t xml:space="preserve"> will satisfy peer review obligations individually or through the peer review of a CPA or LPA firm holding a permit to practice pursuant to Iowa Code section </w:t>
      </w:r>
      <w:hyperlink r:id="rId2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7682C</w:t>
      </w:r>
      <w:r>
        <w:rPr>
          <w:rFonts w:ascii="Times New Roman" w:hAnsi="Times New Roman"/>
          <w:b w:val="false"/>
          <w:i w:val="false"/>
          <w:color w:val="000000"/>
          <w:sz w:val="21"/>
        </w:rPr>
        <w:t xml:space="preserve"> (Notice ARC 7389C,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1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rule/193A.6.2.pdf" Type="http://schemas.openxmlformats.org/officeDocument/2006/relationships/hyperlink" Id="rId12"/>
    <Relationship TargetMode="External" Target="https://www.legis.iowa.gov/docs/ico/chapter/542.6.pdf" Type="http://schemas.openxmlformats.org/officeDocument/2006/relationships/hyperlink" Id="rId13"/>
    <Relationship TargetMode="External" Target="https://www.legis.iowa.gov/docs/ico/chapter/542.19.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6.pdf" Type="http://schemas.openxmlformats.org/officeDocument/2006/relationships/hyperlink" Id="rId16"/>
    <Relationship TargetMode="External" Target="https://www.legis.iowa.gov/docs/ico/chapter/542.19.pdf" Type="http://schemas.openxmlformats.org/officeDocument/2006/relationships/hyperlink" Id="rId17"/>
    <Relationship TargetMode="External" Target="https://www.legis.iowa.gov/docs/ico/chapter/542.8.pdf" Type="http://schemas.openxmlformats.org/officeDocument/2006/relationships/hyperlink" Id="rId18"/>
    <Relationship TargetMode="External" Target="https://www.legis.iowa.gov/docs/ico/chapter/542.20.pdf" Type="http://schemas.openxmlformats.org/officeDocument/2006/relationships/hyperlink" Id="rId19"/>
    <Relationship TargetMode="External" Target="https://www.legis.iowa.gov/docs/iac/rule/193A.6.4.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20.pdf" Type="http://schemas.openxmlformats.org/officeDocument/2006/relationships/hyperlink" Id="rId23"/>
    <Relationship TargetMode="External" Target="https://www.legis.iowa.gov/docs/ico/chapter/542.13.pdf" Type="http://schemas.openxmlformats.org/officeDocument/2006/relationships/hyperlink" Id="rId24"/>
    <Relationship TargetMode="External" Target="https://www.legis.iowa.gov/docs/iac/rule/193A.6.4.pdf" Type="http://schemas.openxmlformats.org/officeDocument/2006/relationships/hyperlink" Id="rId25"/>
    <Relationship TargetMode="External" Target="https://www.legis.iowa.gov/docs/iac/rule/193A.6.4.pdf" Type="http://schemas.openxmlformats.org/officeDocument/2006/relationships/hyperlink" Id="rId26"/>
    <Relationship TargetMode="External" Target="https://www.legis.iowa.gov/docs/ico/chapter/542.7.pdf" Type="http://schemas.openxmlformats.org/officeDocument/2006/relationships/hyperlink" Id="rId27"/>
    <Relationship TargetMode="External" Target="https://www.legis.iowa.gov/docs/ico/chapter/542.8.pdf" Type="http://schemas.openxmlformats.org/officeDocument/2006/relationships/hyperlink" Id="rId28"/>
    <Relationship TargetMode="External" Target="https://www.legis.iowa.gov/docs/ico/chapter/542.20.pdf" Type="http://schemas.openxmlformats.org/officeDocument/2006/relationships/hyperlink" Id="rId29"/>
    <Relationship TargetMode="External" Target="https://www.legis.iowa.gov/docs/ico/chapter/542.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