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LICENSURE OF LPAs</w:t>
      </w:r>
    </w:p>
    <w:p>
      <w:pPr>
        <w:spacing w:before="0" w:after="0"/>
        <w:ind w:left="120"/>
        <w:jc w:val="center"/>
      </w:pPr>
      <w:r>
        <w:rPr>
          <w:rFonts w:ascii="Times New Roman" w:hAnsi="Times New Roman"/>
          <w:b w:val="false"/>
          <w:i w:val="false"/>
          <w:color w:val="000000"/>
          <w:sz w:val="14"/>
        </w:rPr>
        <w:t>[Prior to 7/13/88, see Accountancy, Board of[10]]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193A—4.1</w:t>
      </w:r>
      <w:r>
        <w:rPr>
          <w:rFonts w:ascii="Times New Roman" w:hAnsi="Times New Roman"/>
          <w:b/>
          <w:i w:val="false"/>
          <w:color w:val="000000"/>
          <w:sz w:val="22"/>
        </w:rPr>
        <w:t xml:space="preserve">(542) </w:t>
      </w:r>
      <w:r>
        <w:rPr>
          <w:rFonts w:ascii="Times New Roman" w:hAnsi="Times New Roman"/>
          <w:b/>
          <w:i w:val="false"/>
          <w:color w:val="000000"/>
          <w:sz w:val="22"/>
        </w:rPr>
        <w:t xml:space="preserve">Qualifications for a license as a licensed public accountant.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meets the qualifications and applies subject to Iowa Code section </w:t>
      </w:r>
      <w:hyperlink r:id="rId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may be granted a license as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denied if the applicant is in violation of any of the requirements of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prior enforcement proceedings under </w:t>
      </w:r>
      <w:hyperlink r:id="rId7">
        <w:r>
          <w:rPr>
            <w:rStyle w:val="Hyperlink"/>
            <w:rFonts w:ascii="Times New Roman" w:hAnsi="Times New Roman"/>
            <w:b w:val="false"/>
            <w:i w:val="false"/>
            <w:color w:val="000000"/>
            <w:sz w:val="22"/>
          </w:rPr>
          <w:t>193A—Chapter 17</w:t>
        </w:r>
      </w:hyperlink>
      <w:r>
        <w:rPr>
          <w:rFonts w:ascii="Times New Roman" w:hAnsi="Times New Roman"/>
          <w:b w:val="false"/>
          <w:i w:val="false"/>
          <w:color w:val="000000"/>
          <w:sz w:val="22"/>
        </w:rPr>
        <w:t xml:space="preserve">, or Iowa Code section </w:t>
      </w:r>
      <w:hyperlink r:id="rId8">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193A—4.2</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val="false"/>
          <w:color w:val="000000"/>
          <w:sz w:val="22"/>
        </w:rPr>
        <w:t>An individual desiring to take the examination to qualify for a license as a licensed public accountant should apply to the board’s test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to take the examination, the applicant needs to meet the conditions of Iowa Code section </w:t>
      </w:r>
      <w:hyperlink r:id="rId9">
        <w:r>
          <w:rPr>
            <w:rStyle w:val="Hyperlink"/>
            <w:rFonts w:ascii="Times New Roman" w:hAnsi="Times New Roman"/>
            <w:b w:val="false"/>
            <w:i w:val="false"/>
            <w:color w:val="000000"/>
            <w:sz w:val="22"/>
          </w:rPr>
          <w:t>542.8(1)</w:t>
        </w:r>
      </w:hyperlink>
      <w:r>
        <w:rPr>
          <w:rFonts w:ascii="Times New Roman" w:hAnsi="Times New Roman"/>
          <w:b w:val="false"/>
          <w:i/>
          <w:color w:val="000000"/>
          <w:sz w:val="22"/>
        </w:rPr>
        <w:t>“b”</w:t>
      </w:r>
      <w:r>
        <w:rPr>
          <w:rFonts w:ascii="Times New Roman" w:hAnsi="Times New Roman"/>
          <w:b w:val="false"/>
          <w:i w:val="false"/>
          <w:color w:val="000000"/>
          <w:sz w:val="22"/>
        </w:rPr>
        <w:t xml:space="preserve"> at the time of filing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val="false"/>
          <w:color w:val="000000"/>
          <w:sz w:val="22"/>
        </w:rPr>
        <w:t xml:space="preserve">A candidate whose application is denied under </w:t>
      </w:r>
      <w:hyperlink r:id="rId10">
        <w:r>
          <w:rPr>
            <w:rStyle w:val="Hyperlink"/>
            <w:rFonts w:ascii="Times New Roman" w:hAnsi="Times New Roman"/>
            <w:b w:val="false"/>
            <w:i w:val="false"/>
            <w:color w:val="000000"/>
            <w:sz w:val="22"/>
          </w:rPr>
          <w:t>subrule 4.1(2)</w:t>
        </w:r>
      </w:hyperlink>
      <w:r>
        <w:rPr>
          <w:rFonts w:ascii="Times New Roman" w:hAnsi="Times New Roman"/>
          <w:b w:val="false"/>
          <w:i w:val="false"/>
          <w:color w:val="000000"/>
          <w:sz w:val="22"/>
        </w:rPr>
        <w:t xml:space="preserve"> may be denied admittance to the examination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193A—4.3</w:t>
      </w:r>
      <w:r>
        <w:rPr>
          <w:rFonts w:ascii="Times New Roman" w:hAnsi="Times New Roman"/>
          <w:b/>
          <w:i w:val="false"/>
          <w:color w:val="000000"/>
          <w:sz w:val="22"/>
        </w:rPr>
        <w:t xml:space="preserve">(542) </w:t>
      </w:r>
      <w:r>
        <w:rPr>
          <w:rFonts w:ascii="Times New Roman" w:hAnsi="Times New Roman"/>
          <w:b/>
          <w:i w:val="false"/>
          <w:color w:val="000000"/>
          <w:sz w:val="22"/>
        </w:rPr>
        <w:t xml:space="preserve">Major in accounting. </w:t>
      </w:r>
      <w:r>
        <w:rPr>
          <w:rFonts w:ascii="Times New Roman" w:hAnsi="Times New Roman"/>
          <w:b w:val="false"/>
          <w:i w:val="false"/>
          <w:color w:val="000000"/>
          <w:sz w:val="22"/>
        </w:rPr>
        <w:t xml:space="preserve">In determining whether the conditions in Iowa Code section </w:t>
      </w:r>
      <w:hyperlink r:id="rId11">
        <w:r>
          <w:rPr>
            <w:rStyle w:val="Hyperlink"/>
            <w:rFonts w:ascii="Times New Roman" w:hAnsi="Times New Roman"/>
            <w:b w:val="false"/>
            <w:i w:val="false"/>
            <w:color w:val="000000"/>
            <w:sz w:val="22"/>
          </w:rPr>
          <w:t>542.8(1)</w:t>
        </w:r>
      </w:hyperlink>
      <w:r>
        <w:rPr>
          <w:rFonts w:ascii="Times New Roman" w:hAnsi="Times New Roman"/>
          <w:b w:val="false"/>
          <w:i/>
          <w:color w:val="000000"/>
          <w:sz w:val="22"/>
        </w:rPr>
        <w:t>“b”</w:t>
      </w:r>
      <w:r>
        <w:rPr>
          <w:rFonts w:ascii="Times New Roman" w:hAnsi="Times New Roman"/>
          <w:b w:val="false"/>
          <w:i w:val="false"/>
          <w:color w:val="000000"/>
          <w:sz w:val="22"/>
        </w:rPr>
        <w:t xml:space="preserve">(2) as to a major in accounting have been met, the board will follow the provisions associated with a concentration in accounting outlined in rule </w:t>
      </w:r>
      <w:hyperlink r:id="rId12">
        <w:r>
          <w:rPr>
            <w:rStyle w:val="Hyperlink"/>
            <w:rFonts w:ascii="Times New Roman" w:hAnsi="Times New Roman"/>
            <w:b w:val="false"/>
            <w:i w:val="false"/>
            <w:color w:val="000000"/>
            <w:sz w:val="22"/>
          </w:rPr>
          <w:t>193A—3.3</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193A—4.4</w:t>
      </w:r>
      <w:r>
        <w:rPr>
          <w:rFonts w:ascii="Times New Roman" w:hAnsi="Times New Roman"/>
          <w:b/>
          <w:i w:val="false"/>
          <w:color w:val="000000"/>
          <w:sz w:val="22"/>
        </w:rPr>
        <w:t xml:space="preserve">(542) </w:t>
      </w:r>
      <w:r>
        <w:rPr>
          <w:rFonts w:ascii="Times New Roman" w:hAnsi="Times New Roman"/>
          <w:b/>
          <w:i w:val="false"/>
          <w:color w:val="000000"/>
          <w:sz w:val="22"/>
        </w:rPr>
        <w:t xml:space="preserve">Transcripts needed. </w:t>
      </w:r>
      <w:r>
        <w:rPr>
          <w:rFonts w:ascii="Times New Roman" w:hAnsi="Times New Roman"/>
          <w:b w:val="false"/>
          <w:i w:val="false"/>
          <w:color w:val="000000"/>
          <w:sz w:val="22"/>
        </w:rPr>
        <w:t>In order for an applicant’s claim to college or university credits to be confirmed, the applicant needs to have an official transcript of credit issued by a recognized institution sent by the institution to the board’s test administrator at the time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193A—4.5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193A—4.6</w:t>
      </w:r>
      <w:r>
        <w:rPr>
          <w:rFonts w:ascii="Times New Roman" w:hAnsi="Times New Roman"/>
          <w:b/>
          <w:i w:val="false"/>
          <w:color w:val="000000"/>
          <w:sz w:val="22"/>
        </w:rPr>
        <w:t xml:space="preserve">(542) </w:t>
      </w:r>
      <w:r>
        <w:rPr>
          <w:rFonts w:ascii="Times New Roman" w:hAnsi="Times New Roman"/>
          <w:b/>
          <w:i w:val="false"/>
          <w:color w:val="000000"/>
          <w:sz w:val="22"/>
        </w:rPr>
        <w:t xml:space="preserve">Content and grading of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The board may use the examination prepared by the Accreditation Council for Accountancy and Taxation, without questions regarding auditing or attest functions.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The board may use the grading services provided by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Absent a showing of good cause, the board will accept the passing grade established by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Alternatively, an applicant may satisfy the examination obligations of this rule by passing the Financial Accounting and Reporting and Regulation sections of the CPA examination provided by the AICPA.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193A—4.7</w:t>
      </w:r>
      <w:r>
        <w:rPr>
          <w:rFonts w:ascii="Times New Roman" w:hAnsi="Times New Roman"/>
          <w:b/>
          <w:i w:val="false"/>
          <w:color w:val="000000"/>
          <w:sz w:val="22"/>
        </w:rPr>
        <w:t xml:space="preserve">(542) </w:t>
      </w:r>
      <w:r>
        <w:rPr>
          <w:rFonts w:ascii="Times New Roman" w:hAnsi="Times New Roman"/>
          <w:b/>
          <w:i w:val="false"/>
          <w:color w:val="000000"/>
          <w:sz w:val="22"/>
        </w:rPr>
        <w:t xml:space="preserve">Conditional requirements. </w:t>
      </w:r>
      <w:r>
        <w:rPr>
          <w:rFonts w:ascii="Times New Roman" w:hAnsi="Times New Roman"/>
          <w:b w:val="false"/>
          <w:i w:val="false"/>
          <w:color w:val="000000"/>
          <w:sz w:val="22"/>
        </w:rPr>
        <w:t xml:space="preserve">Effective with the implementation of the computer-based examination, a candidate may take the required test subjects individually and in any order. Except as provided in rule </w:t>
      </w:r>
      <w:hyperlink r:id="rId13">
        <w:r>
          <w:rPr>
            <w:rStyle w:val="Hyperlink"/>
            <w:rFonts w:ascii="Times New Roman" w:hAnsi="Times New Roman"/>
            <w:b w:val="false"/>
            <w:i w:val="false"/>
            <w:color w:val="000000"/>
            <w:sz w:val="22"/>
          </w:rPr>
          <w:t>193A—3.7</w:t>
        </w:r>
      </w:hyperlink>
      <w:r>
        <w:rPr>
          <w:rFonts w:ascii="Times New Roman" w:hAnsi="Times New Roman"/>
          <w:b w:val="false"/>
          <w:i w:val="false"/>
          <w:color w:val="000000"/>
          <w:sz w:val="22"/>
        </w:rPr>
        <w:t>(542), credit for any subjects passed will be valid for 18 months from the actual date the candidate sat for the subject, without the candidate having to attain a minimum score on any failed subject(s) and without regard to whether the candidate sat for any other subjects. The candidate needs to pass both subjects of the examination within a rolling 18-month period that begins on the date that the first subject is passed. If both subjects are not passed within the 18-month period, credit for any subject taken outside the 18-month period will expire.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193A—4.8</w:t>
      </w:r>
      <w:r>
        <w:rPr>
          <w:rFonts w:ascii="Times New Roman" w:hAnsi="Times New Roman"/>
          <w:b/>
          <w:i w:val="false"/>
          <w:color w:val="000000"/>
          <w:sz w:val="22"/>
        </w:rPr>
        <w:t xml:space="preserve">(542) </w:t>
      </w:r>
      <w:r>
        <w:rPr>
          <w:rFonts w:ascii="Times New Roman" w:hAnsi="Times New Roman"/>
          <w:b/>
          <w:i w:val="false"/>
          <w:color w:val="000000"/>
          <w:sz w:val="22"/>
        </w:rPr>
        <w:t xml:space="preserve">Examination procedures. </w:t>
      </w:r>
      <w:r>
        <w:rPr>
          <w:rFonts w:ascii="Times New Roman" w:hAnsi="Times New Roman"/>
          <w:b w:val="false"/>
          <w:i w:val="false"/>
          <w:color w:val="000000"/>
          <w:sz w:val="22"/>
        </w:rPr>
        <w:t xml:space="preserve">The examination procedures to be followed by a candidate for the certified public accountants’ examination as outlined in rule </w:t>
      </w:r>
      <w:hyperlink r:id="rId14">
        <w:r>
          <w:rPr>
            <w:rStyle w:val="Hyperlink"/>
            <w:rFonts w:ascii="Times New Roman" w:hAnsi="Times New Roman"/>
            <w:b w:val="false"/>
            <w:i w:val="false"/>
            <w:color w:val="000000"/>
            <w:sz w:val="22"/>
          </w:rPr>
          <w:t>193A—3.8</w:t>
        </w:r>
      </w:hyperlink>
      <w:r>
        <w:rPr>
          <w:rFonts w:ascii="Times New Roman" w:hAnsi="Times New Roman"/>
          <w:b w:val="false"/>
          <w:i w:val="false"/>
          <w:color w:val="000000"/>
          <w:sz w:val="22"/>
        </w:rPr>
        <w:t>(542) apply to a licensed public accountant examination candidate.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193A—4.9</w:t>
      </w:r>
      <w:r>
        <w:rPr>
          <w:rFonts w:ascii="Times New Roman" w:hAnsi="Times New Roman"/>
          <w:b/>
          <w:i w:val="false"/>
          <w:color w:val="000000"/>
          <w:sz w:val="22"/>
        </w:rPr>
        <w:t xml:space="preserve">(542) </w:t>
      </w:r>
      <w:r>
        <w:rPr>
          <w:rFonts w:ascii="Times New Roman" w:hAnsi="Times New Roman"/>
          <w:b/>
          <w:i w:val="false"/>
          <w:color w:val="000000"/>
          <w:sz w:val="22"/>
        </w:rPr>
        <w:t xml:space="preserve">Refunding of examination fees. </w:t>
      </w:r>
      <w:r>
        <w:rPr>
          <w:rFonts w:ascii="Times New Roman" w:hAnsi="Times New Roman"/>
          <w:b w:val="false"/>
          <w:i w:val="false"/>
          <w:color w:val="000000"/>
          <w:sz w:val="22"/>
        </w:rPr>
        <w:t xml:space="preserve">Examination fees will not be refunded except as provided by the rules concerning the refunding of examination fees to an examination candidate for a certified public accountant certificate outlined in rule </w:t>
      </w:r>
      <w:hyperlink r:id="rId15">
        <w:r>
          <w:rPr>
            <w:rStyle w:val="Hyperlink"/>
            <w:rFonts w:ascii="Times New Roman" w:hAnsi="Times New Roman"/>
            <w:b w:val="false"/>
            <w:i w:val="false"/>
            <w:color w:val="000000"/>
            <w:sz w:val="22"/>
          </w:rPr>
          <w:t>193A—3.10</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193A—4.10</w:t>
      </w:r>
      <w:r>
        <w:rPr>
          <w:rFonts w:ascii="Times New Roman" w:hAnsi="Times New Roman"/>
          <w:b/>
          <w:i w:val="false"/>
          <w:color w:val="000000"/>
          <w:sz w:val="22"/>
        </w:rPr>
        <w:t xml:space="preserve">(542) </w:t>
      </w:r>
      <w:r>
        <w:rPr>
          <w:rFonts w:ascii="Times New Roman" w:hAnsi="Times New Roman"/>
          <w:b/>
          <w:i w:val="false"/>
          <w:color w:val="000000"/>
          <w:sz w:val="22"/>
        </w:rPr>
        <w:t xml:space="preserve">Credit for an examination taken in another state. </w:t>
      </w:r>
      <w:r>
        <w:rPr>
          <w:rFonts w:ascii="Times New Roman" w:hAnsi="Times New Roman"/>
          <w:b w:val="false"/>
          <w:i w:val="false"/>
          <w:color w:val="000000"/>
          <w:sz w:val="22"/>
        </w:rPr>
        <w:t xml:space="preserve">A candidate who has partially passed an examination in another state will be given credit for the part or parts passed, provided the candidate meets the conditioning requirements of the board and further provided the examination given by the licensing authority in the other state was an examination that complies with rule </w:t>
      </w:r>
      <w:hyperlink r:id="rId16">
        <w:r>
          <w:rPr>
            <w:rStyle w:val="Hyperlink"/>
            <w:rFonts w:ascii="Times New Roman" w:hAnsi="Times New Roman"/>
            <w:b w:val="false"/>
            <w:i w:val="false"/>
            <w:color w:val="000000"/>
            <w:sz w:val="22"/>
          </w:rPr>
          <w:t>193A—4.7</w:t>
        </w:r>
      </w:hyperlink>
      <w:r>
        <w:rPr>
          <w:rFonts w:ascii="Times New Roman" w:hAnsi="Times New Roman"/>
          <w:b w:val="false"/>
          <w:i w:val="false"/>
          <w:color w:val="000000"/>
          <w:sz w:val="22"/>
        </w:rPr>
        <w:t>(542).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193A—4.11</w:t>
      </w:r>
      <w:r>
        <w:rPr>
          <w:rFonts w:ascii="Times New Roman" w:hAnsi="Times New Roman"/>
          <w:b/>
          <w:i w:val="false"/>
          <w:color w:val="000000"/>
          <w:sz w:val="22"/>
        </w:rPr>
        <w:t xml:space="preserve">(542) </w:t>
      </w:r>
      <w:r>
        <w:rPr>
          <w:rFonts w:ascii="Times New Roman" w:hAnsi="Times New Roman"/>
          <w:b/>
          <w:i w:val="false"/>
          <w:color w:val="000000"/>
          <w:sz w:val="22"/>
        </w:rPr>
        <w:t xml:space="preserve">Experience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val="false"/>
          <w:color w:val="000000"/>
          <w:sz w:val="22"/>
        </w:rPr>
        <w:t xml:space="preserve">One year of experience will consist of full- or part-time employment that extends over a period of no less than one year and no more than three years and includes no fewer than 2,000 hours of performance of services outlined in Iowa Code section </w:t>
      </w:r>
      <w:hyperlink r:id="rId17">
        <w:r>
          <w:rPr>
            <w:rStyle w:val="Hyperlink"/>
            <w:rFonts w:ascii="Times New Roman" w:hAnsi="Times New Roman"/>
            <w:b w:val="false"/>
            <w:i w:val="false"/>
            <w:color w:val="000000"/>
            <w:sz w:val="22"/>
          </w:rPr>
          <w:t>542.8(8)</w:t>
        </w:r>
      </w:hyperlink>
      <w:r>
        <w:rPr>
          <w:rFonts w:ascii="Times New Roman" w:hAnsi="Times New Roman"/>
          <w:b w:val="false"/>
          <w:i w:val="false"/>
          <w:color w:val="000000"/>
          <w:sz w:val="22"/>
        </w:rPr>
        <w:t>. Experience may be gained in more than one employment situation, including an internship.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val="false"/>
          <w:color w:val="000000"/>
          <w:sz w:val="22"/>
        </w:rPr>
        <w:t xml:space="preserve">All experience will be verified by a licensee with direct supervisory control over the applicant or by a licensee who can attest that the experience gained by the applicant meets the conditions of </w:t>
      </w:r>
      <w:hyperlink r:id="rId18">
        <w:r>
          <w:rPr>
            <w:rStyle w:val="Hyperlink"/>
            <w:rFonts w:ascii="Times New Roman" w:hAnsi="Times New Roman"/>
            <w:b w:val="false"/>
            <w:i w:val="false"/>
            <w:color w:val="000000"/>
            <w:sz w:val="22"/>
          </w:rPr>
          <w:t>subrule 4.12(1)</w:t>
        </w:r>
      </w:hyperlink>
      <w:r>
        <w:rPr>
          <w:rFonts w:ascii="Times New Roman" w:hAnsi="Times New Roman"/>
          <w:b w:val="false"/>
          <w:i w:val="false"/>
          <w:color w:val="000000"/>
          <w:sz w:val="22"/>
        </w:rPr>
        <w:t xml:space="preserve"> if the applicant is not supervised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val="false"/>
          <w:color w:val="000000"/>
          <w:sz w:val="22"/>
        </w:rPr>
        <w:t>Teaching experience needs to be in the employment of an institution of higher education and needs to include teaching a minimum of 24 semester hours of accounting courses for which the course participants will receive credit on an official transcript. Teaching of noncredit continuing education courses will not qualify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193A—4.12</w:t>
      </w:r>
      <w:r>
        <w:rPr>
          <w:rFonts w:ascii="Times New Roman" w:hAnsi="Times New Roman"/>
          <w:b/>
          <w:i w:val="false"/>
          <w:color w:val="000000"/>
          <w:sz w:val="22"/>
        </w:rPr>
        <w:t xml:space="preserve">(542) </w:t>
      </w:r>
      <w:r>
        <w:rPr>
          <w:rFonts w:ascii="Times New Roman" w:hAnsi="Times New Roman"/>
          <w:b/>
          <w:i w:val="false"/>
          <w:color w:val="000000"/>
          <w:sz w:val="22"/>
        </w:rPr>
        <w:t xml:space="preserve">Ethics course and examination. </w:t>
      </w:r>
      <w:r>
        <w:rPr>
          <w:rFonts w:ascii="Times New Roman" w:hAnsi="Times New Roman"/>
          <w:b w:val="false"/>
          <w:i w:val="false"/>
          <w:color w:val="000000"/>
          <w:sz w:val="22"/>
        </w:rPr>
        <w:t>A successful candidate will need to pass an examination covering the code of ethical conduct prior to issuance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193A—4.13</w:t>
      </w:r>
      <w:r>
        <w:rPr>
          <w:rFonts w:ascii="Times New Roman" w:hAnsi="Times New Roman"/>
          <w:b/>
          <w:i w:val="false"/>
          <w:color w:val="000000"/>
          <w:sz w:val="22"/>
        </w:rPr>
        <w:t xml:space="preserve">(542) </w:t>
      </w:r>
      <w:r>
        <w:rPr>
          <w:rFonts w:ascii="Times New Roman" w:hAnsi="Times New Roman"/>
          <w:b/>
          <w:i w:val="false"/>
          <w:color w:val="000000"/>
          <w:sz w:val="22"/>
        </w:rPr>
        <w:t xml:space="preserve">Statements on standards for accounting and review services (SSARS) education. </w:t>
      </w:r>
      <w:r>
        <w:rPr>
          <w:rFonts w:ascii="Times New Roman" w:hAnsi="Times New Roman"/>
          <w:b w:val="false"/>
          <w:i w:val="false"/>
          <w:color w:val="000000"/>
          <w:sz w:val="22"/>
        </w:rPr>
        <w:t>An LPA license applicant needs to complete a minimum of eight hours of continuing education devoted to statements on standards for accounting and review services (SSARS) prior to issuance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193A—4.14</w:t>
      </w:r>
      <w:r>
        <w:rPr>
          <w:rFonts w:ascii="Times New Roman" w:hAnsi="Times New Roman"/>
          <w:b/>
          <w:i w:val="false"/>
          <w:color w:val="000000"/>
          <w:sz w:val="22"/>
        </w:rPr>
        <w:t xml:space="preserve">(542) </w:t>
      </w:r>
      <w:r>
        <w:rPr>
          <w:rFonts w:ascii="Times New Roman" w:hAnsi="Times New Roman"/>
          <w:b/>
          <w:i w:val="false"/>
          <w:color w:val="000000"/>
          <w:sz w:val="22"/>
        </w:rPr>
        <w:t xml:space="preserve">Obtaining the license. </w:t>
      </w:r>
      <w:r>
        <w:rPr>
          <w:rFonts w:ascii="Times New Roman" w:hAnsi="Times New Roman"/>
          <w:b w:val="false"/>
          <w:i w:val="false"/>
          <w:color w:val="000000"/>
          <w:sz w:val="22"/>
        </w:rPr>
        <w:t xml:space="preserve">A candidate who successfully passes the examination and completes conditions outlined in rules </w:t>
      </w:r>
      <w:hyperlink r:id="rId19">
        <w:r>
          <w:rPr>
            <w:rStyle w:val="Hyperlink"/>
            <w:rFonts w:ascii="Times New Roman" w:hAnsi="Times New Roman"/>
            <w:b w:val="false"/>
            <w:i w:val="false"/>
            <w:color w:val="000000"/>
            <w:sz w:val="22"/>
          </w:rPr>
          <w:t>193A—4.12</w:t>
        </w:r>
      </w:hyperlink>
      <w:r>
        <w:rPr>
          <w:rFonts w:ascii="Times New Roman" w:hAnsi="Times New Roman"/>
          <w:b w:val="false"/>
          <w:i w:val="false"/>
          <w:color w:val="000000"/>
          <w:sz w:val="22"/>
        </w:rPr>
        <w:t xml:space="preserve">(542), </w:t>
      </w:r>
      <w:hyperlink r:id="rId20">
        <w:r>
          <w:rPr>
            <w:rStyle w:val="Hyperlink"/>
            <w:rFonts w:ascii="Times New Roman" w:hAnsi="Times New Roman"/>
            <w:b w:val="false"/>
            <w:i w:val="false"/>
            <w:color w:val="000000"/>
            <w:sz w:val="22"/>
          </w:rPr>
          <w:t>193A—4.13</w:t>
        </w:r>
      </w:hyperlink>
      <w:r>
        <w:rPr>
          <w:rFonts w:ascii="Times New Roman" w:hAnsi="Times New Roman"/>
          <w:b w:val="false"/>
          <w:i w:val="false"/>
          <w:color w:val="000000"/>
          <w:sz w:val="22"/>
        </w:rPr>
        <w:t xml:space="preserve">(542) and </w:t>
      </w:r>
      <w:hyperlink r:id="rId21">
        <w:r>
          <w:rPr>
            <w:rStyle w:val="Hyperlink"/>
            <w:rFonts w:ascii="Times New Roman" w:hAnsi="Times New Roman"/>
            <w:b w:val="false"/>
            <w:i w:val="false"/>
            <w:color w:val="000000"/>
            <w:sz w:val="22"/>
          </w:rPr>
          <w:t>193A—4.14</w:t>
        </w:r>
      </w:hyperlink>
      <w:r>
        <w:rPr>
          <w:rFonts w:ascii="Times New Roman" w:hAnsi="Times New Roman"/>
          <w:b w:val="false"/>
          <w:i w:val="false"/>
          <w:color w:val="000000"/>
          <w:sz w:val="22"/>
        </w:rPr>
        <w:t xml:space="preserve">(542) may apply for licensure on the board’s website. An applicant is obligated to list on the application all states in which the applicant has applied for or holds a certificate, license or permit and will also list any past denial, revocation, suspension, refusal to renew, or voluntary surrender to avoid disciplinary action of a certificate, license or permit. An applicant will notify the board in writing within 30 days after the occurrence of any issuance, denial, revocation, suspension, refusal to renew, or voluntary surrender to avoid disciplinary action of a certificate, license or permit by another state. An applicant for licensure may be denied the license for reasons outlined in </w:t>
      </w:r>
      <w:hyperlink r:id="rId22">
        <w:r>
          <w:rPr>
            <w:rStyle w:val="Hyperlink"/>
            <w:rFonts w:ascii="Times New Roman" w:hAnsi="Times New Roman"/>
            <w:b w:val="false"/>
            <w:i w:val="false"/>
            <w:color w:val="000000"/>
            <w:sz w:val="22"/>
          </w:rPr>
          <w:t>subrule 4.1(2)</w:t>
        </w:r>
      </w:hyperlink>
      <w:r>
        <w:rPr>
          <w:rFonts w:ascii="Times New Roman" w:hAnsi="Times New Roman"/>
          <w:b w:val="false"/>
          <w:i w:val="false"/>
          <w:color w:val="000000"/>
          <w:sz w:val="22"/>
        </w:rPr>
        <w:t xml:space="preserve"> regardless of when the incident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193A—4.15</w:t>
      </w:r>
      <w:r>
        <w:rPr>
          <w:rFonts w:ascii="Times New Roman" w:hAnsi="Times New Roman"/>
          <w:b/>
          <w:i w:val="false"/>
          <w:color w:val="000000"/>
          <w:sz w:val="22"/>
        </w:rPr>
        <w:t xml:space="preserve">(542) </w:t>
      </w:r>
      <w:r>
        <w:rPr>
          <w:rFonts w:ascii="Times New Roman" w:hAnsi="Times New Roman"/>
          <w:b/>
          <w:i w:val="false"/>
          <w:color w:val="000000"/>
          <w:sz w:val="22"/>
        </w:rPr>
        <w:t xml:space="preserve">Licensure by reciprocity.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section </w:t>
      </w:r>
      <w:hyperlink r:id="rId23">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examination obligations will be waived for an applicant who has passed a comparable examination administered by another state if the examination was prepared and graded by the Board of Examiners of the American Institute of Certified Public Accountants or the Accreditation Council for Accountancy and Taxation.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A person desiring a license as a licensed public accountant in this state on the basis of a licensed public accountant license issued by another state needs to apply on the board’s website. The burden is on the applicant to obtain information satisfactory to the board that the applicant’s license in such other state is in full force and effect and that the conditions for obtaining such license were substantially equivalent to those of this state to obtain a license as a licensed public accountant.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val="false"/>
          <w:color w:val="000000"/>
          <w:sz w:val="22"/>
        </w:rPr>
        <w:t>An applicant needs to list on the application all states in which the applicant has applied for or holds a certificate, license or permit and needs to also list any past denial, revocation, suspension, refusal to renew or voluntary surrender to avoid disciplinary action of a certificate, license, or permit. An applicant needs to notify the board in writing within 30 days after the occurrence of any issuance, denial, revocation, suspension, refusal to renew or voluntary surrender to avoid disciplinary action of a certificate, license or permit by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needs to affirm that all information provided on the form is accurate. Providing false information will be considered prima facie evidence of a violation of Iowa Code chapter </w:t>
      </w:r>
      <w:hyperlink r:id="rId2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A nonrefundable application fee will be charged to each applicant.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193A—4.16</w:t>
      </w:r>
      <w:r>
        <w:rPr>
          <w:rFonts w:ascii="Times New Roman" w:hAnsi="Times New Roman"/>
          <w:b/>
          <w:i w:val="false"/>
          <w:color w:val="000000"/>
          <w:sz w:val="22"/>
        </w:rPr>
        <w:t xml:space="preserve">(542) </w:t>
      </w:r>
      <w:r>
        <w:rPr>
          <w:rFonts w:ascii="Times New Roman" w:hAnsi="Times New Roman"/>
          <w:b/>
          <w:i w:val="false"/>
          <w:color w:val="000000"/>
          <w:sz w:val="22"/>
        </w:rPr>
        <w:t xml:space="preserve">Use of title. </w:t>
      </w:r>
      <w:r>
        <w:rPr>
          <w:rFonts w:ascii="Times New Roman" w:hAnsi="Times New Roman"/>
          <w:b w:val="false"/>
          <w:i w:val="false"/>
          <w:color w:val="000000"/>
          <w:sz w:val="22"/>
        </w:rPr>
        <w:t>Only a person holding a license as a licensed public accountant may use or assume the title “licensed public accountant” or the abbreviation “LPA” or any other title, designation, words, letters, abbreviation, sign, card, or device tending to indicate that such person is a licensed public accountant.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7680C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and effective September 22, 1975]</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6/22/88, Notice 3/9/88—published 7/13/88, effective 8/17/88]</w:t>
      </w:r>
    </w:p>
    <w:p>
      <w:pPr>
        <w:spacing w:before="0" w:after="0"/>
        <w:ind w:left="120"/>
        <w:jc w:val="center"/>
      </w:pPr>
      <w:r>
        <w:rPr>
          <w:rFonts w:ascii="Times New Roman" w:hAnsi="Times New Roman"/>
          <w:b w:val="false"/>
          <w:i w:val="false"/>
          <w:color w:val="000000"/>
          <w:sz w:val="21"/>
        </w:rPr>
        <w:t>[Filed 8/1/91, Notice 5/15/91—published 8/21/91, effective 9/25/91]</w:t>
      </w:r>
    </w:p>
    <w:p>
      <w:pPr>
        <w:spacing w:before="0" w:after="0"/>
        <w:ind w:left="120"/>
        <w:jc w:val="center"/>
      </w:pPr>
      <w:r>
        <w:rPr>
          <w:rFonts w:ascii="Times New Roman" w:hAnsi="Times New Roman"/>
          <w:b w:val="false"/>
          <w:i w:val="false"/>
          <w:color w:val="000000"/>
          <w:sz w:val="21"/>
        </w:rPr>
        <w:t>[Filed 12/17/93, Notice 10/13/93—published 1/5/94, effective 2/9/94]</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1/19/05, Notice 12/8/04—published 2/16/05, effective 3/23/05]</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4243C</w:t>
      </w:r>
      <w:r>
        <w:rPr>
          <w:rFonts w:ascii="Times New Roman" w:hAnsi="Times New Roman"/>
          <w:b w:val="false"/>
          <w:i w:val="false"/>
          <w:color w:val="000000"/>
          <w:sz w:val="21"/>
        </w:rPr>
        <w:t xml:space="preserve"> (Notice ARC 3988C, IAB 9/12/18)</w:t>
      </w:r>
      <w:r>
        <w:rPr>
          <w:rFonts w:ascii="Times New Roman" w:hAnsi="Times New Roman"/>
          <w:b w:val="false"/>
          <w:i w:val="false"/>
          <w:color w:val="000000"/>
          <w:sz w:val="21"/>
        </w:rPr>
        <w:t>, IAB 1/16/19, effective 2/20/19]</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7680C</w:t>
      </w:r>
      <w:r>
        <w:rPr>
          <w:rFonts w:ascii="Times New Roman" w:hAnsi="Times New Roman"/>
          <w:b w:val="false"/>
          <w:i w:val="false"/>
          <w:color w:val="000000"/>
          <w:sz w:val="21"/>
        </w:rPr>
        <w:t xml:space="preserve"> (Notice ARC 7387C,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8.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ac/chapter/193A.17.pdf" Type="http://schemas.openxmlformats.org/officeDocument/2006/relationships/hyperlink" Id="rId7"/>
    <Relationship TargetMode="External" Target="https://www.legis.iowa.gov/docs/ico/chapter/272C.15.pdf" Type="http://schemas.openxmlformats.org/officeDocument/2006/relationships/hyperlink" Id="rId8"/>
    <Relationship TargetMode="External" Target="https://www.legis.iowa.gov/docs/ico/chapter/542.8.pdf" Type="http://schemas.openxmlformats.org/officeDocument/2006/relationships/hyperlink" Id="rId9"/>
    <Relationship TargetMode="External" Target="https://www.legis.iowa.gov/docs/iac/rule/193A.4.1.pdf" Type="http://schemas.openxmlformats.org/officeDocument/2006/relationships/hyperlink" Id="rId10"/>
    <Relationship TargetMode="External" Target="https://www.legis.iowa.gov/docs/ico/chapter/542.8.pdf" Type="http://schemas.openxmlformats.org/officeDocument/2006/relationships/hyperlink" Id="rId11"/>
    <Relationship TargetMode="External" Target="https://www.legis.iowa.gov/docs/iac/rule/193A.3.3.pdf" Type="http://schemas.openxmlformats.org/officeDocument/2006/relationships/hyperlink" Id="rId12"/>
    <Relationship TargetMode="External" Target="https://www.legis.iowa.gov/docs/iac/rule/193A.3.7.pdf" Type="http://schemas.openxmlformats.org/officeDocument/2006/relationships/hyperlink" Id="rId13"/>
    <Relationship TargetMode="External" Target="https://www.legis.iowa.gov/docs/iac/rule/193A.3.8.pdf" Type="http://schemas.openxmlformats.org/officeDocument/2006/relationships/hyperlink" Id="rId14"/>
    <Relationship TargetMode="External" Target="https://www.legis.iowa.gov/docs/iac/rule/193A.3.10.pdf" Type="http://schemas.openxmlformats.org/officeDocument/2006/relationships/hyperlink" Id="rId15"/>
    <Relationship TargetMode="External" Target="https://www.legis.iowa.gov/docs/iac/rule/193A.4.7.pdf" Type="http://schemas.openxmlformats.org/officeDocument/2006/relationships/hyperlink" Id="rId16"/>
    <Relationship TargetMode="External" Target="https://www.legis.iowa.gov/docs/ico/chapter/542.8.pdf" Type="http://schemas.openxmlformats.org/officeDocument/2006/relationships/hyperlink" Id="rId17"/>
    <Relationship TargetMode="External" Target="https://www.legis.iowa.gov/docs/iac/rule/193A.4.12.pdf" Type="http://schemas.openxmlformats.org/officeDocument/2006/relationships/hyperlink" Id="rId18"/>
    <Relationship TargetMode="External" Target="https://www.legis.iowa.gov/docs/iac/rule/193A.4.12.pdf" Type="http://schemas.openxmlformats.org/officeDocument/2006/relationships/hyperlink" Id="rId19"/>
    <Relationship TargetMode="External" Target="https://www.legis.iowa.gov/docs/iac/rule/193A.4.13.pdf" Type="http://schemas.openxmlformats.org/officeDocument/2006/relationships/hyperlink" Id="rId20"/>
    <Relationship TargetMode="External" Target="https://www.legis.iowa.gov/docs/iac/rule/193A.4.14.pdf" Type="http://schemas.openxmlformats.org/officeDocument/2006/relationships/hyperlink" Id="rId21"/>
    <Relationship TargetMode="External" Target="https://www.legis.iowa.gov/docs/iac/rule/193A.4.1.pdf" Type="http://schemas.openxmlformats.org/officeDocument/2006/relationships/hyperlink" Id="rId22"/>
    <Relationship TargetMode="External" Target="https://www.legis.iowa.gov/docs/ico/chapter/542.8.pdf" Type="http://schemas.openxmlformats.org/officeDocument/2006/relationships/hyperlink" Id="rId23"/>
    <Relationship TargetMode="External" Target="https://www.legis.iowa.gov/docs/ico/chapter/542.pdf" Type="http://schemas.openxmlformats.org/officeDocument/2006/relationships/hyperlink" Id="rId24"/>
    <Relationship TargetMode="External" Target="https://www.legis.iowa.gov/docs/ico/chapter/542.8.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