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CERTIFICATION OF CPAs</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193A—3.1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certificate as a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 xml:space="preserve"> A person who meets the qualifications of Iowa Code section </w:t>
      </w:r>
      <w:hyperlink r:id="rId5">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xml:space="preserve"> and this chapter and applies pursuant to Iowa Code section </w:t>
      </w:r>
      <w:hyperlink r:id="rId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may be granted a certificate as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8">
        <w:r>
          <w:rPr>
            <w:rStyle w:val="Hyperlink"/>
            <w:rFonts w:ascii="Times New Roman" w:hAnsi="Times New Roman"/>
            <w:b w:val="false"/>
            <w:i w:val="false"/>
            <w:color w:val="000000"/>
            <w:sz w:val="22"/>
          </w:rPr>
          <w:t>193A—Chapter 17</w:t>
        </w:r>
      </w:hyperlink>
      <w:r>
        <w:rPr>
          <w:rFonts w:ascii="Times New Roman" w:hAnsi="Times New Roman"/>
          <w:b w:val="false"/>
          <w:i w:val="false"/>
          <w:color w:val="000000"/>
          <w:sz w:val="22"/>
        </w:rPr>
        <w:t xml:space="preserve">, or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193A—3.2</w:t>
      </w:r>
      <w:r>
        <w:rPr>
          <w:rFonts w:ascii="Times New Roman" w:hAnsi="Times New Roman"/>
          <w:b/>
          <w:i w:val="false"/>
          <w:color w:val="000000"/>
          <w:sz w:val="22"/>
        </w:rPr>
        <w:t xml:space="preserve">(542) </w:t>
      </w:r>
      <w:r>
        <w:rPr>
          <w:rFonts w:ascii="Times New Roman" w:hAnsi="Times New Roman"/>
          <w:b/>
          <w:i w:val="false"/>
          <w:color w:val="000000"/>
          <w:sz w:val="22"/>
        </w:rPr>
        <w:t xml:space="preserve">Colleges or universities recognized by the board.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542.5(7)</w:t>
        </w:r>
      </w:hyperlink>
      <w:r>
        <w:rPr>
          <w:rFonts w:ascii="Times New Roman" w:hAnsi="Times New Roman"/>
          <w:b w:val="false"/>
          <w:i w:val="false"/>
          <w:color w:val="000000"/>
          <w:sz w:val="22"/>
        </w:rPr>
        <w:t>, the board recognizes educational institutions accredited by the Association to Advance Collegiate Schools of Business and the regional accrediting bodies listed in the Accredited Institutions of Postsecondary Education as published on January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193A—3.3</w:t>
      </w:r>
      <w:r>
        <w:rPr>
          <w:rFonts w:ascii="Times New Roman" w:hAnsi="Times New Roman"/>
          <w:b/>
          <w:i w:val="false"/>
          <w:color w:val="000000"/>
          <w:sz w:val="22"/>
        </w:rPr>
        <w:t xml:space="preserve">(542) </w:t>
      </w:r>
      <w:r>
        <w:rPr>
          <w:rFonts w:ascii="Times New Roman" w:hAnsi="Times New Roman"/>
          <w:b/>
          <w:i w:val="false"/>
          <w:color w:val="000000"/>
          <w:sz w:val="22"/>
        </w:rPr>
        <w:t xml:space="preserve">Accounting concentration.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will be deemed to have met the educational requirement if, as part of the 150 semester hours of education as outlined in Iowa Code section </w:t>
      </w:r>
      <w:hyperlink r:id="rId12">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the candidate has met one of the following four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with a concentration in accounting from a program that is accredited in accounting by an accrediting agency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in business from a program that is accredited in business by an accrediting agency recognized by the board and completed at least 24 semester hours in accounting, including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degree in business or accounting from a program that is accredited in business by an accrediting agency recognized by the board and completed at least 24 semester hours in accounting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or higher degree and completed the following hours from an accredited institution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24 semester hours in accounting courses above elementary accounting or principles of accounting covering the subjects of financial accounting, auditing, taxation, and management accounting, not including internships or life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24 additional semester hours in business-related courses, not including internships or life experience. Elementary accounting hours that do not qualify under subparagraph </w:t>
      </w:r>
      <w:hyperlink r:id="rId13">
        <w:r>
          <w:rPr>
            <w:rStyle w:val="Hyperlink"/>
            <w:rFonts w:ascii="Times New Roman" w:hAnsi="Times New Roman"/>
            <w:b w:val="false"/>
            <w:i w:val="false"/>
            <w:color w:val="000000"/>
            <w:sz w:val="22"/>
          </w:rPr>
          <w:t>3.3(1)</w:t>
        </w:r>
      </w:hyperlink>
      <w:r>
        <w:rPr>
          <w:rFonts w:ascii="Times New Roman" w:hAnsi="Times New Roman"/>
          <w:b w:val="false"/>
          <w:i/>
          <w:color w:val="000000"/>
          <w:sz w:val="22"/>
        </w:rPr>
        <w:t>“d”</w:t>
      </w:r>
      <w:r>
        <w:rPr>
          <w:rFonts w:ascii="Times New Roman" w:hAnsi="Times New Roman"/>
          <w:b w:val="false"/>
          <w:i w:val="false"/>
          <w:color w:val="000000"/>
          <w:sz w:val="22"/>
        </w:rPr>
        <w:t>(1) may apply toward business-related courses.</w:t>
      </w:r>
    </w:p>
    <w:p>
      <w:pPr>
        <w:spacing w:before="0" w:after="0"/>
        <w:ind w:left="120"/>
        <w:jc w:val="both"/>
      </w:pPr>
      <w:r>
        <w:rPr>
          <w:rFonts w:ascii="Times New Roman" w:hAnsi="Times New Roman"/>
          <w:b w:val="false"/>
          <w:i w:val="false"/>
          <w:color w:val="000000"/>
          <w:sz w:val="22"/>
        </w:rPr>
        <w:t>Quarter hours will be accepted in lieu of semester hours at a 3:2 ratio; that is, three quarter hours are equivalent to two semester hours. Internships and life experience hours may apply toward the total required 150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correspondence study and study in other schools not meeting the above requirements on an individual basis if the candidate can provide evidence that such study would be acceptable for credit by a college or university recognized by the board; provided, however, that at least 18 of the required hours in accounting and at least 16 of the required hours in business-related subjects are obtained from a college or university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The applicant needs to have an official transcript of credit issued by a recognized institution sent by the institution to the board’s test administrator at the time of application in order for the applicant’s claimed college or university credits to be confirmed.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Graduates of foreign colleges or universities will have their education evaluated by a foreign credentials evaluation advisory service specified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193A—3.4</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certified public accountant examination as an initial candidate should apply to the board’s test administrator. Only a complete application will be considered. A complete application includes a completed application form, the designated fee, and all applicable college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apply for the examination, a candidate needs to fulfill the requirements of rule </w:t>
      </w:r>
      <w:hyperlink r:id="rId14">
        <w:r>
          <w:rPr>
            <w:rStyle w:val="Hyperlink"/>
            <w:rFonts w:ascii="Times New Roman" w:hAnsi="Times New Roman"/>
            <w:b w:val="false"/>
            <w:i w:val="false"/>
            <w:color w:val="000000"/>
            <w:sz w:val="22"/>
          </w:rPr>
          <w:t>193A—3.3</w:t>
        </w:r>
      </w:hyperlink>
      <w:r>
        <w:rPr>
          <w:rFonts w:ascii="Times New Roman" w:hAnsi="Times New Roman"/>
          <w:b w:val="false"/>
          <w:i w:val="false"/>
          <w:color w:val="000000"/>
          <w:sz w:val="22"/>
        </w:rPr>
        <w:t xml:space="preserve">(542). A candidate may apply for the examination before the educational requirements are met pursuant to Iowa Code section </w:t>
      </w:r>
      <w:hyperlink r:id="rId15">
        <w:r>
          <w:rPr>
            <w:rStyle w:val="Hyperlink"/>
            <w:rFonts w:ascii="Times New Roman" w:hAnsi="Times New Roman"/>
            <w:b w:val="false"/>
            <w:i w:val="false"/>
            <w:color w:val="000000"/>
            <w:sz w:val="22"/>
          </w:rPr>
          <w:t>542.5(9)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subrule </w:t>
      </w:r>
      <w:hyperlink r:id="rId16">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may be denied admittance to the examination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A candidate may be considered as a reexamination applicant regardless of whether or not the candidate sat for the examination once initially approved. Reexamination applicants may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A nonrefundable proctoring fee will be collected from a candidate who wishes to be proctored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193A—3.5</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Uniform Certified Public Accountant Examination prepared by the American Institute of Certified Public Accountants or another nationally recognized organization under a plan of cooperation with the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The board may also make use of the advisory grading service provided by the American Institute of Certified Public Accountants or another nationally recognized organization under a plan of cooperation with the boards of all states and territories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193A—3.6</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with the implementation of the computer-based examination, a candidate may take the test subjects individually and in any order. Except as provided in rule </w:t>
      </w:r>
      <w:hyperlink r:id="rId17">
        <w:r>
          <w:rPr>
            <w:rStyle w:val="Hyperlink"/>
            <w:rFonts w:ascii="Times New Roman" w:hAnsi="Times New Roman"/>
            <w:b w:val="false"/>
            <w:i w:val="false"/>
            <w:color w:val="000000"/>
            <w:sz w:val="22"/>
          </w:rPr>
          <w:t>193A—3.7</w:t>
        </w:r>
      </w:hyperlink>
      <w:r>
        <w:rPr>
          <w:rFonts w:ascii="Times New Roman" w:hAnsi="Times New Roman"/>
          <w:b w:val="false"/>
          <w:i w:val="false"/>
          <w:color w:val="000000"/>
          <w:sz w:val="22"/>
        </w:rPr>
        <w:t>(542), credit for any subjects passed will be valid for 30 months from the actual date initial credit is earned, without the candidate having to attain a minimum score on any failed subject(s) and without regard to whether the candidate sat for any other subjects. The candidate needs to pass all four subjects of the examination within a rolling 30-month period that begins on the date initial credit is earned, which is calculated on the date the examination administrator provides scores to the boards, the candidate, or both. If all four subjects are not passed within the 30-month period, credit for any subject taken outside the 30-month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A candidate will be deemed to have passed the examination once the candidate holds, at the same time, valid credit for passing each of the four subjects of the examination. For purposes of this rule, credit for passing a subject of the examination is valid from the actual date of the testing event for that subject, regardless of the date the candidate actually received notice of the passing score.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193A—3.7</w:t>
      </w:r>
      <w:r>
        <w:rPr>
          <w:rFonts w:ascii="Times New Roman" w:hAnsi="Times New Roman"/>
          <w:b/>
          <w:i w:val="false"/>
          <w:color w:val="000000"/>
          <w:sz w:val="22"/>
        </w:rPr>
        <w:t xml:space="preserve">(542) </w:t>
      </w:r>
      <w:r>
        <w:rPr>
          <w:rFonts w:ascii="Times New Roman" w:hAnsi="Times New Roman"/>
          <w:b/>
          <w:i w:val="false"/>
          <w:color w:val="000000"/>
          <w:sz w:val="22"/>
        </w:rPr>
        <w:t xml:space="preserve">Extension of conditional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will not include any period during which the candidate was serving in the armed forces of the United States. This exception does not apply if the candidate takes an examination while so serving. The board may extend the time limit in particular instances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for hardship cases, such as when the applicant for the examination is prevented from attending for such reasons as unexpected illness, verified by a medical doctor, or a death in the family, verified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if circumstances occur that prevent the score from an examination from reaching the candidate in a reasonable period of time. Such circumstances would allow the candidate the opportunity to retake a failed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193A—3.8</w:t>
      </w:r>
      <w:r>
        <w:rPr>
          <w:rFonts w:ascii="Times New Roman" w:hAnsi="Times New Roman"/>
          <w:b/>
          <w:i w:val="false"/>
          <w:color w:val="000000"/>
          <w:sz w:val="22"/>
        </w:rPr>
        <w:t xml:space="preserve">(542) </w:t>
      </w:r>
      <w:r>
        <w:rPr>
          <w:rFonts w:ascii="Times New Roman" w:hAnsi="Times New Roman"/>
          <w:b/>
          <w:i w:val="false"/>
          <w:color w:val="000000"/>
          <w:sz w:val="22"/>
        </w:rPr>
        <w:t xml:space="preserve">Transfer of credit from another jurisdiction. </w:t>
      </w:r>
      <w:r>
        <w:rPr>
          <w:rFonts w:ascii="Times New Roman" w:hAnsi="Times New Roman"/>
          <w:b w:val="false"/>
          <w:i w:val="false"/>
          <w:color w:val="000000"/>
          <w:sz w:val="22"/>
        </w:rPr>
        <w:t>A candidate requesting transfer of grades from any other jurisdiction will be subject to the same provisions of these rules as an Iowa candidate, provided that the examination given by the licensing authority in the other state was an examination approved by the Iowa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193A—3.9</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At the examination, a candidate needs to provide evidence of identification and comply with the requirements of the examination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193A—3.10</w:t>
      </w:r>
      <w:r>
        <w:rPr>
          <w:rFonts w:ascii="Times New Roman" w:hAnsi="Times New Roman"/>
          <w:b/>
          <w:i w:val="false"/>
          <w:color w:val="000000"/>
          <w:sz w:val="22"/>
        </w:rPr>
        <w:t xml:space="preserve">(542) </w:t>
      </w:r>
      <w:r>
        <w:rPr>
          <w:rFonts w:ascii="Times New Roman" w:hAnsi="Times New Roman"/>
          <w:b/>
          <w:i w:val="false"/>
          <w:color w:val="000000"/>
          <w:sz w:val="22"/>
        </w:rPr>
        <w:t xml:space="preserve">Conduct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accountancy licensing and certification examinations in Iowa, or be subject to the imposition of other sanctions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Individuals are subject to the conduct rules and regulations of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examination candidate who wishes to appeal a decision of the board under this rule may request a contested case hearing. The request for hearing needs to be in writing, briefly describe the basis for the appeal, and be filed in the board’s office within 30 days of the date of the board decision being appealed. Any hearing requested under this subrule will be governed by the rules applicable to contested case hearings under </w:t>
      </w:r>
      <w:hyperlink r:id="rId19">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193A—3.11</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Examination fees will not be refunded except in hardship cases, such as when the candidate for the examination is prevented from attending for such reasons as unexpected illness, verified by a medical doctor, a death in the family, or a call to active military service, in which case 50 percent of the fee may be returned. Written documentation including evidence of the hardship will be provided to the board’s test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193A—3.12</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20">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qualification as an attest CPA will have, at a minimum, two years of experience, as described in </w:t>
      </w:r>
      <w:hyperlink r:id="rId21">
        <w:r>
          <w:rPr>
            <w:rStyle w:val="Hyperlink"/>
            <w:rFonts w:ascii="Times New Roman" w:hAnsi="Times New Roman"/>
            <w:b w:val="false"/>
            <w:i w:val="false"/>
            <w:color w:val="000000"/>
            <w:sz w:val="22"/>
          </w:rPr>
          <w:t>193A—subrule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requirements of Iowa Code section </w:t>
      </w:r>
      <w:hyperlink r:id="rId22">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Teaching experience will be in the employment of an institution of higher education and will include teaching a minimum of 24 semester hours of accounting courses for which the course participants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193A—3.13</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 successfully passes the examination, completes the ethics course and examination and meets the obligations of rule </w:t>
      </w:r>
      <w:hyperlink r:id="rId23">
        <w:r>
          <w:rPr>
            <w:rStyle w:val="Hyperlink"/>
            <w:rFonts w:ascii="Times New Roman" w:hAnsi="Times New Roman"/>
            <w:b w:val="false"/>
            <w:i w:val="false"/>
            <w:color w:val="000000"/>
            <w:sz w:val="22"/>
          </w:rPr>
          <w:t>193A—3.1</w:t>
        </w:r>
      </w:hyperlink>
      <w:r>
        <w:rPr>
          <w:rFonts w:ascii="Times New Roman" w:hAnsi="Times New Roman"/>
          <w:b w:val="false"/>
          <w:i w:val="false"/>
          <w:color w:val="000000"/>
          <w:sz w:val="22"/>
        </w:rPr>
        <w:t xml:space="preserve">(542) needs to apply for the certificate on the board’s website. An applicant for a certificate may be denied the certificate for reasons outlined in subrule </w:t>
      </w:r>
      <w:hyperlink r:id="rId24">
        <w:r>
          <w:rPr>
            <w:rStyle w:val="Hyperlink"/>
            <w:rFonts w:ascii="Times New Roman" w:hAnsi="Times New Roman"/>
            <w:b w:val="false"/>
            <w:i w:val="false"/>
            <w:color w:val="000000"/>
            <w:sz w:val="22"/>
          </w:rPr>
          <w:t>3.4(3)</w:t>
        </w:r>
      </w:hyperlink>
      <w:r>
        <w:rPr>
          <w:rFonts w:ascii="Times New Roman" w:hAnsi="Times New Roman"/>
          <w:b w:val="false"/>
          <w:i w:val="false"/>
          <w:color w:val="000000"/>
          <w:sz w:val="22"/>
        </w:rPr>
        <w:t xml:space="preserve"> regardless of when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candidate does not file an application for a certificate within three years of passing the examination, the candidate needs to comply with the basic continuing education obligations outlined in rule </w:t>
      </w:r>
      <w:hyperlink r:id="rId25">
        <w:r>
          <w:rPr>
            <w:rStyle w:val="Hyperlink"/>
            <w:rFonts w:ascii="Times New Roman" w:hAnsi="Times New Roman"/>
            <w:b w:val="false"/>
            <w:i w:val="false"/>
            <w:color w:val="000000"/>
            <w:sz w:val="22"/>
          </w:rPr>
          <w:t>193A—10.5</w:t>
        </w:r>
      </w:hyperlink>
      <w:r>
        <w:rPr>
          <w:rFonts w:ascii="Times New Roman" w:hAnsi="Times New Roman"/>
          <w:b w:val="false"/>
          <w:i w:val="false"/>
          <w:color w:val="000000"/>
          <w:sz w:val="22"/>
        </w:rPr>
        <w:t>(542) prior to filing an application. The continuing education hours need to include a minimum of eight hours of continuing education every three years devoted to financial statement presentation, such as courses covering the statements on standards for accounting and review services (SSARS) and accounting and auditing updates.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193A—3.15</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person who holds an active, unexpired certificate and who complies with the requirements of 193A—Chapters </w:t>
      </w:r>
      <w:hyperlink r:id="rId26">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or a person lawfully exercising a practice privilege under Iowa Code section </w:t>
      </w:r>
      <w:hyperlink r:id="rId2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 sign, card, or device tending to indicate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regarding the use of the title “CPA” in a firm name are found in the AICPA Code of Professional Conduct as adopted by reference in </w:t>
      </w:r>
      <w:hyperlink r:id="rId29">
        <w:r>
          <w:rPr>
            <w:rStyle w:val="Hyperlink"/>
            <w:rFonts w:ascii="Times New Roman" w:hAnsi="Times New Roman"/>
            <w:b w:val="false"/>
            <w:i w:val="false"/>
            <w:color w:val="000000"/>
            <w:sz w:val="22"/>
          </w:rPr>
          <w:t>193A—Chapter 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12/30/94, Notice 10/12/94—published 1/18/95, effective 2/22/95]</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4657C</w:t>
      </w:r>
      <w:r>
        <w:rPr>
          <w:rFonts w:ascii="Times New Roman" w:hAnsi="Times New Roman"/>
          <w:b w:val="false"/>
          <w:i w:val="false"/>
          <w:color w:val="000000"/>
          <w:sz w:val="21"/>
        </w:rPr>
        <w:t xml:space="preserve"> (Notice ARC 4507C, IAB 6/19/19)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7679C</w:t>
      </w:r>
      <w:r>
        <w:rPr>
          <w:rFonts w:ascii="Times New Roman" w:hAnsi="Times New Roman"/>
          <w:b w:val="false"/>
          <w:i w:val="false"/>
          <w:color w:val="000000"/>
          <w:sz w:val="21"/>
        </w:rPr>
        <w:t xml:space="preserve"> (Notice ARC 7386C,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5.pdf" Type="http://schemas.openxmlformats.org/officeDocument/2006/relationships/hyperlink" Id="rId5"/>
    <Relationship TargetMode="External" Target="https://www.legis.iowa.gov/docs/ico/chapter/542.6.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ac/chapter/193A.17.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co/chapter/542.5.pdf" Type="http://schemas.openxmlformats.org/officeDocument/2006/relationships/hyperlink" Id="rId10"/>
    <Relationship TargetMode="External" Target="https://www.legis.iowa.gov/docs/ico/chapter/542.5.pdf" Type="http://schemas.openxmlformats.org/officeDocument/2006/relationships/hyperlink" Id="rId11"/>
    <Relationship TargetMode="External" Target="https://www.legis.iowa.gov/docs/ico/chapter/542.5.pdf" Type="http://schemas.openxmlformats.org/officeDocument/2006/relationships/hyperlink" Id="rId12"/>
    <Relationship TargetMode="External" Target="https://www.legis.iowa.gov/docs/iac/rule/193A.3.3.pdf" Type="http://schemas.openxmlformats.org/officeDocument/2006/relationships/hyperlink" Id="rId13"/>
    <Relationship TargetMode="External" Target="https://www.legis.iowa.gov/docs/iac/rule/193A.3.3.pdf" Type="http://schemas.openxmlformats.org/officeDocument/2006/relationships/hyperlink" Id="rId14"/>
    <Relationship TargetMode="External" Target="https://www.legis.iowa.gov/docs/ico/chapter/542.5.pdf" Type="http://schemas.openxmlformats.org/officeDocument/2006/relationships/hyperlink" Id="rId15"/>
    <Relationship TargetMode="External" Target="https://www.legis.iowa.gov/docs/iac/rule/193A.3.1.pdf" Type="http://schemas.openxmlformats.org/officeDocument/2006/relationships/hyperlink" Id="rId16"/>
    <Relationship TargetMode="External" Target="https://www.legis.iowa.gov/docs/iac/rule/193A.3.7.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ac/chapter/193.7.pdf" Type="http://schemas.openxmlformats.org/officeDocument/2006/relationships/hyperlink" Id="rId19"/>
    <Relationship TargetMode="External" Target="https://www.legis.iowa.gov/docs/ico/chapter/542.5.pdf" Type="http://schemas.openxmlformats.org/officeDocument/2006/relationships/hyperlink" Id="rId20"/>
    <Relationship TargetMode="External" Target="https://www.legis.iowa.gov/docs/iac/rule/193A.6.2.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193A.3.1.pdf" Type="http://schemas.openxmlformats.org/officeDocument/2006/relationships/hyperlink" Id="rId23"/>
    <Relationship TargetMode="External" Target="https://www.legis.iowa.gov/docs/iac/rule/193A.3.4.pdf" Type="http://schemas.openxmlformats.org/officeDocument/2006/relationships/hyperlink" Id="rId24"/>
    <Relationship TargetMode="External" Target="https://www.legis.iowa.gov/docs/iac/rule/193A.10.5.pdf" Type="http://schemas.openxmlformats.org/officeDocument/2006/relationships/hyperlink" Id="rId25"/>
    <Relationship TargetMode="External" Target="https://www.legis.iowa.gov/docs/iac/chapter/193A.5.pdf" Type="http://schemas.openxmlformats.org/officeDocument/2006/relationships/hyperlink" Id="rId26"/>
    <Relationship TargetMode="External" Target="https://www.legis.iowa.gov/docs/iac/chapter/193A.10.pdf" Type="http://schemas.openxmlformats.org/officeDocument/2006/relationships/hyperlink" Id="rId27"/>
    <Relationship TargetMode="External" Target="https://www.legis.iowa.gov/docs/ico/chapter/542.20.pdf" Type="http://schemas.openxmlformats.org/officeDocument/2006/relationships/hyperlink" Id="rId28"/>
    <Relationship TargetMode="External" Target="https://www.legis.iowa.gov/docs/iac/chapter/193A.13.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0A.506.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