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14"/>
        </w:rPr>
        <w:t>[Prior to 7/13/88, see Accountancy, Board of[10]]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193A—2.1</w:t>
      </w:r>
      <w:r>
        <w:rPr>
          <w:rFonts w:ascii="Times New Roman" w:hAnsi="Times New Roman"/>
          <w:b/>
          <w:i w:val="false"/>
          <w:color w:val="000000"/>
          <w:sz w:val="22"/>
        </w:rPr>
        <w:t xml:space="preserve">(542) </w:t>
      </w:r>
      <w:r>
        <w:rPr>
          <w:rFonts w:ascii="Times New Roman" w:hAnsi="Times New Roman"/>
          <w:b/>
          <w:i w:val="false"/>
          <w:color w:val="000000"/>
          <w:sz w:val="22"/>
        </w:rPr>
        <w:t xml:space="preserve">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accountancy examining board administers and enforces the provisions of Iowa Code chapter </w:t>
      </w:r>
      <w:hyperlink r:id="rId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with regard to the practice of accountancy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val="false"/>
          <w:color w:val="000000"/>
          <w:sz w:val="22"/>
        </w:rPr>
        <w:t>The primary mission of the board is to protect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193A—2.2</w:t>
      </w:r>
      <w:r>
        <w:rPr>
          <w:rFonts w:ascii="Times New Roman" w:hAnsi="Times New Roman"/>
          <w:b/>
          <w:i w:val="false"/>
          <w:color w:val="000000"/>
          <w:sz w:val="22"/>
        </w:rPr>
        <w:t xml:space="preserve">(542) </w:t>
      </w:r>
      <w:r>
        <w:rPr>
          <w:rFonts w:ascii="Times New Roman" w:hAnsi="Times New Roman"/>
          <w:b/>
          <w:i w:val="false"/>
          <w:color w:val="000000"/>
          <w:sz w:val="22"/>
        </w:rPr>
        <w:t xml:space="preserve">Advisory committees. </w:t>
      </w:r>
      <w:r>
        <w:rPr>
          <w:rFonts w:ascii="Times New Roman" w:hAnsi="Times New Roman"/>
          <w:b w:val="false"/>
          <w:i w:val="false"/>
          <w:color w:val="000000"/>
          <w:sz w:val="22"/>
        </w:rPr>
        <w:t>The board chair may appoint advisory committees composed of board members to make recommendations on matters within the board’s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193A—2.3</w:t>
      </w:r>
      <w:r>
        <w:rPr>
          <w:rFonts w:ascii="Times New Roman" w:hAnsi="Times New Roman"/>
          <w:b/>
          <w:i w:val="false"/>
          <w:color w:val="000000"/>
          <w:sz w:val="22"/>
        </w:rPr>
        <w:t xml:space="preserve">(542) </w:t>
      </w:r>
      <w:r>
        <w:rPr>
          <w:rFonts w:ascii="Times New Roman" w:hAnsi="Times New Roman"/>
          <w:b/>
          <w:i w:val="false"/>
          <w:color w:val="000000"/>
          <w:sz w:val="22"/>
        </w:rPr>
        <w:t xml:space="preserve">Annual meeting. </w:t>
      </w:r>
      <w:r>
        <w:rPr>
          <w:rFonts w:ascii="Times New Roman" w:hAnsi="Times New Roman"/>
          <w:b w:val="false"/>
          <w:i w:val="false"/>
          <w:color w:val="000000"/>
          <w:sz w:val="22"/>
        </w:rPr>
        <w:t>At the first board meeting scheduled after April 30 of each year (the annual meeting), the board will elect a chair and vice-chair to serve until their successors are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193A—2.4</w:t>
      </w:r>
      <w:r>
        <w:rPr>
          <w:rFonts w:ascii="Times New Roman" w:hAnsi="Times New Roman"/>
          <w:b/>
          <w:i w:val="false"/>
          <w:color w:val="000000"/>
          <w:sz w:val="22"/>
        </w:rPr>
        <w:t xml:space="preserve">(542) </w:t>
      </w:r>
      <w:r>
        <w:rPr>
          <w:rFonts w:ascii="Times New Roman" w:hAnsi="Times New Roman"/>
          <w:b/>
          <w:i w:val="false"/>
          <w:color w:val="000000"/>
          <w:sz w:val="22"/>
        </w:rPr>
        <w:t xml:space="preserve">Other meetings. </w:t>
      </w:r>
      <w:r>
        <w:rPr>
          <w:rFonts w:ascii="Times New Roman" w:hAnsi="Times New Roman"/>
          <w:b w:val="false"/>
          <w:i w:val="false"/>
          <w:color w:val="000000"/>
          <w:sz w:val="22"/>
        </w:rPr>
        <w:t>Other meetings throughout the year may be established by the chairperson, by board resolution, or by a request of a majority of board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193A—2.5</w:t>
      </w:r>
      <w:r>
        <w:rPr>
          <w:rFonts w:ascii="Times New Roman" w:hAnsi="Times New Roman"/>
          <w:b/>
          <w:i w:val="false"/>
          <w:color w:val="000000"/>
          <w:sz w:val="22"/>
        </w:rPr>
        <w:t xml:space="preserve">(542) </w:t>
      </w:r>
      <w:r>
        <w:rPr>
          <w:rFonts w:ascii="Times New Roman" w:hAnsi="Times New Roman"/>
          <w:b/>
          <w:i w:val="false"/>
          <w:color w:val="000000"/>
          <w:sz w:val="22"/>
        </w:rPr>
        <w:t xml:space="preserve">Board administrator’s duties. </w:t>
      </w:r>
      <w:r>
        <w:rPr>
          <w:rFonts w:ascii="Times New Roman" w:hAnsi="Times New Roman"/>
          <w:b w:val="false"/>
          <w:i w:val="false"/>
          <w:color w:val="000000"/>
          <w:sz w:val="22"/>
        </w:rPr>
        <w:t>The board administrator’s duties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val="false"/>
          <w:color w:val="000000"/>
          <w:sz w:val="22"/>
        </w:rPr>
        <w:t>Ensuring that complete records are kept of all applications for examination and registration; all certificates, licenses and permits granted; and all necessary information in regard thereto. The board administrator is the lawful custodian of the board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val="false"/>
          <w:color w:val="000000"/>
          <w:sz w:val="22"/>
        </w:rPr>
        <w:t>Determining when the prerequisites for licensure have been satisfied with regard to issuance of certificates, licenses or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val="false"/>
          <w:color w:val="000000"/>
          <w:sz w:val="22"/>
        </w:rPr>
        <w:t>Submitting to the board any questionable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val="false"/>
          <w:color w:val="000000"/>
          <w:sz w:val="22"/>
        </w:rPr>
        <w:t>Keeping accurate minutes of board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val="false"/>
          <w:color w:val="000000"/>
          <w:sz w:val="22"/>
        </w:rPr>
        <w:t>Keeping a list of persons issued certificates as certified public accountants, persons issued licenses as licensed public accountants, and all firms issued permits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such additional administrative duties as assigned.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193A—2.6</w:t>
      </w:r>
      <w:r>
        <w:rPr>
          <w:rFonts w:ascii="Times New Roman" w:hAnsi="Times New Roman"/>
          <w:b/>
          <w:i w:val="false"/>
          <w:color w:val="000000"/>
          <w:sz w:val="22"/>
        </w:rPr>
        <w:t xml:space="preserve">(542) </w:t>
      </w:r>
      <w:r>
        <w:rPr>
          <w:rFonts w:ascii="Times New Roman" w:hAnsi="Times New Roman"/>
          <w:b/>
          <w:i w:val="false"/>
          <w:color w:val="000000"/>
          <w:sz w:val="22"/>
        </w:rPr>
        <w:t xml:space="preserve">Disclosure of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val="false"/>
          <w:color w:val="000000"/>
          <w:sz w:val="22"/>
        </w:rPr>
        <w:t>Persons who take the examination may consent to the publication of their names on a list of passing candidates.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val="false"/>
          <w:color w:val="000000"/>
          <w:sz w:val="22"/>
        </w:rPr>
        <w:t>Information relating to the examination results, including the specific grades by subject matter, may only be given to the person who took the examination, except that the board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Disclose the specific grades by subject matter to the regulatory authority of any other state or foreign country in connection with the candidate’s application for a reciprocal certificate or license from the other state or foreign country, but only if requested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Disclose the specific grades by subject matter to educational institutions, professional organizations, or others, provided the names of the persons taking the examination are not provided in conjunction with the scores.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193A—2.7</w:t>
      </w:r>
      <w:r>
        <w:rPr>
          <w:rFonts w:ascii="Times New Roman" w:hAnsi="Times New Roman"/>
          <w:b/>
          <w:i w:val="false"/>
          <w:color w:val="000000"/>
          <w:sz w:val="22"/>
        </w:rPr>
        <w:t xml:space="preserve">(17A,21,22,272C,542) </w:t>
      </w:r>
      <w:r>
        <w:rPr>
          <w:rFonts w:ascii="Times New Roman" w:hAnsi="Times New Roman"/>
          <w:b/>
          <w:i w:val="false"/>
          <w:color w:val="000000"/>
          <w:sz w:val="22"/>
        </w:rPr>
        <w:t xml:space="preserve">Uniform rules. </w:t>
      </w:r>
      <w:r>
        <w:rPr>
          <w:rFonts w:ascii="Times New Roman" w:hAnsi="Times New Roman"/>
          <w:b w:val="false"/>
          <w:i w:val="false"/>
          <w:color w:val="000000"/>
          <w:sz w:val="22"/>
        </w:rPr>
        <w:t>Administrative and procedural rules can be found in rules of the professional licensing and regulation bureau[193].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9/22/75 under ch 17A, C ’73]</w:t>
      </w:r>
    </w:p>
    <w:p>
      <w:pPr>
        <w:spacing w:before="0" w:after="0"/>
        <w:ind w:left="120"/>
        <w:jc w:val="center"/>
      </w:pPr>
      <w:r>
        <w:rPr>
          <w:rFonts w:ascii="Times New Roman" w:hAnsi="Times New Roman"/>
          <w:b w:val="false"/>
          <w:i w:val="false"/>
          <w:color w:val="000000"/>
          <w:sz w:val="21"/>
        </w:rPr>
        <w:t>[Filed 6/24/76, Notice 5/17/76—published 7/12/76, effective 8/16/76]</w:t>
      </w:r>
    </w:p>
    <w:p>
      <w:pPr>
        <w:spacing w:before="0" w:after="0"/>
        <w:ind w:left="120"/>
        <w:jc w:val="center"/>
      </w:pPr>
      <w:r>
        <w:rPr>
          <w:rFonts w:ascii="Times New Roman" w:hAnsi="Times New Roman"/>
          <w:b w:val="false"/>
          <w:i w:val="false"/>
          <w:color w:val="000000"/>
          <w:sz w:val="21"/>
        </w:rPr>
        <w:t>[Filed 10/9/80, Notice 9/3/80—published 10/29/80, effective 12/3/80]</w:t>
      </w:r>
    </w:p>
    <w:p>
      <w:pPr>
        <w:spacing w:before="0" w:after="0"/>
        <w:ind w:left="120"/>
        <w:jc w:val="center"/>
      </w:pPr>
      <w:r>
        <w:rPr>
          <w:rFonts w:ascii="Times New Roman" w:hAnsi="Times New Roman"/>
          <w:b w:val="false"/>
          <w:i w:val="false"/>
          <w:color w:val="000000"/>
          <w:sz w:val="21"/>
        </w:rPr>
        <w:t>[Filed 2/8/82, Notice 12/9/81—published 3/3/82, effective 4/7/82]</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2719C</w:t>
      </w:r>
      <w:r>
        <w:rPr>
          <w:rFonts w:ascii="Times New Roman" w:hAnsi="Times New Roman"/>
          <w:b w:val="false"/>
          <w:i w:val="false"/>
          <w:color w:val="000000"/>
          <w:sz w:val="21"/>
        </w:rPr>
        <w:t xml:space="preserve"> (Notice ARC 2598C, IAB 6/22/16)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7678C</w:t>
      </w:r>
      <w:r>
        <w:rPr>
          <w:rFonts w:ascii="Times New Roman" w:hAnsi="Times New Roman"/>
          <w:b w:val="false"/>
          <w:i w:val="false"/>
          <w:color w:val="000000"/>
          <w:sz w:val="21"/>
        </w:rPr>
        <w:t xml:space="preserve"> (Notice ARC 7385C,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54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