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DISCIPLINARY INVESTIGATIONS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193A—15.1</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Initiation of disciplinary investigations. </w:t>
      </w:r>
      <w:r>
        <w:rPr>
          <w:rFonts w:ascii="Times New Roman" w:hAnsi="Times New Roman"/>
          <w:b w:val="false"/>
          <w:i w:val="false"/>
          <w:color w:val="000000"/>
          <w:sz w:val="22"/>
        </w:rPr>
        <w:t>The board may initiate a licensee disciplinary investigation upon the board’s receipt of information suggesting that a licensee may have violated a law or rule enforced by the board which, if true, would constitute grounds for licensee discipline. The board may also review the publicly available work product of licensees on a general or random basis to determine whether reasonable grounds exist to initiate disciplinary proceedings or to conduct a more specific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193A—15.2</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board, or if a member of the board has a conflict of interest in any disciplinary matter before the board, that member will abstain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193A—15.3</w:t>
      </w:r>
      <w:r>
        <w:rPr>
          <w:rFonts w:ascii="Times New Roman" w:hAnsi="Times New Roman"/>
          <w:b/>
          <w:i w:val="false"/>
          <w:color w:val="000000"/>
          <w:sz w:val="22"/>
        </w:rPr>
        <w:t xml:space="preserve">(272C,542)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may be submitted by any means and by anyone.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Contents of a written complaint. </w:t>
      </w:r>
      <w:r>
        <w:rPr>
          <w:rFonts w:ascii="Times New Roman" w:hAnsi="Times New Roman"/>
          <w:b w:val="false"/>
          <w:i w:val="false"/>
          <w:color w:val="000000"/>
          <w:sz w:val="22"/>
        </w:rPr>
        <w:t>Written complaints may be submitted through the online complaint process. Written complaints, whether submitted on a board complaint form or in other written medium,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(person complaining).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respondent (licensee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that the complainant believes demonstrate that the respondent has violated or is violating laws or rules enforced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known, citations to the laws or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taken by the complainant to resolve the dispute with the respondent prior to filing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As provided by Iowa Code section </w:t>
      </w:r>
      <w:hyperlink r:id="rId5">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a person is not civilly liable as a result of filing a report or complaint with the board unless such act is done with malice, nor may an employee be dismissed from employment or discriminated against by an employer for filing such a report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that may be initiated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review. </w:t>
      </w:r>
      <w:r>
        <w:rPr>
          <w:rFonts w:ascii="Times New Roman" w:hAnsi="Times New Roman"/>
          <w:b w:val="false"/>
          <w:i w:val="false"/>
          <w:color w:val="000000"/>
          <w:sz w:val="22"/>
        </w:rPr>
        <w:t xml:space="preserve">All written complaints received by the board are initially reviewed by the board’s administrator to determine whether the complaint allegations fall within the board’s investigatory jurisdiction and whether the facts presented, if true, would constitute a basis for licensee disciplinary action. Complaints that are clearly outside the board’s jurisdiction, which clearly do not allege facts upon which disciplinary action would be based, or which are frivolous, will be referred by the board administrator to the board for closure at the next scheduled board meeting.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193A—15.4</w:t>
      </w:r>
      <w:r>
        <w:rPr>
          <w:rFonts w:ascii="Times New Roman" w:hAnsi="Times New Roman"/>
          <w:b/>
          <w:i w:val="false"/>
          <w:color w:val="000000"/>
          <w:sz w:val="22"/>
        </w:rPr>
        <w:t xml:space="preserve">(272C,542) </w:t>
      </w:r>
      <w:r>
        <w:rPr>
          <w:rFonts w:ascii="Times New Roman" w:hAnsi="Times New Roman"/>
          <w:b/>
          <w:i w:val="false"/>
          <w:color w:val="000000"/>
          <w:sz w:val="22"/>
        </w:rPr>
        <w:t xml:space="preserve">Case numbers. </w:t>
      </w:r>
      <w:r>
        <w:rPr>
          <w:rFonts w:ascii="Times New Roman" w:hAnsi="Times New Roman"/>
          <w:b w:val="false"/>
          <w:i w:val="false"/>
          <w:color w:val="000000"/>
          <w:sz w:val="22"/>
        </w:rPr>
        <w:t>Complaint files are tracked by a case numbering system. Once a case file number is assigned to a complaint, all persons communicating with the board regarding that complaint are encouraged to include the case file number to facilitate accurate records and prompt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193A—15.5</w:t>
      </w:r>
      <w:r>
        <w:rPr>
          <w:rFonts w:ascii="Times New Roman" w:hAnsi="Times New Roman"/>
          <w:b/>
          <w:i w:val="false"/>
          <w:color w:val="000000"/>
          <w:sz w:val="22"/>
        </w:rPr>
        <w:t xml:space="preserve">(272C,542) </w:t>
      </w:r>
      <w:r>
        <w:rPr>
          <w:rFonts w:ascii="Times New Roman" w:hAnsi="Times New Roman"/>
          <w:b/>
          <w:i w:val="false"/>
          <w:color w:val="000000"/>
          <w:sz w:val="22"/>
        </w:rPr>
        <w:t xml:space="preserve">Confidentiality of complaint and investigative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 xml:space="preserve">All complaint and investigative information received or created by the board is privileged and confidential pursuant to Iowa Code section </w:t>
      </w:r>
      <w:hyperlink r:id="rId6">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Such information will not be released to any person except as provided in that section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PCAOB information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PCAOB was created by the Sarbanes-Oxley Act of 2002 (the Act) as a nonprofit corporation under the laws of the District of Columbia. The duties of the PCAOB include the registration of public accounting firms that prepare audit reports for public companies; the promulgation of rules (as approved by the SEC) for auditing, quality control, ethics, independence and other standards relating to the preparation of audit reports; the inspection of registered public accounting firms; the investigation of alleged standards violations; and the imposition of appropriate sanctions following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Pursuant to Section 105(b)(5)(A) of the Act and PCAOB rules, PCAOB investigatory information and records are confidential and privileged and are exempt from disclosure under the federal Freedom of Information Act. PCAOB, in its discretion, may share such information and records, along with the nonpublic sections of inspection reports, with state regulatory authorities as necessary to accomplish the purposes of the Act or to protect investors. As provided in Section 105(b)(5)(B) of the Act, state regulatory authorities also maintain such information and records as confidential and privileged, and the board will maintain that information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Disclosure to the subject of the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Legal authority. </w:t>
      </w:r>
      <w:r>
        <w:rPr>
          <w:rFonts w:ascii="Times New Roman" w:hAnsi="Times New Roman"/>
          <w:b w:val="false"/>
          <w:i w:val="false"/>
          <w:color w:val="000000"/>
          <w:sz w:val="22"/>
        </w:rPr>
        <w:t xml:space="preserve">Pursuant to Iowa Code section </w:t>
      </w:r>
      <w:hyperlink r:id="rId7">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 the board may supply to a licensee who is the subject of a disciplinary complaint or investigation, prior to the initiation of a disciplinary proceeding, all or such parts of a disciplinary complaint, disciplinary or investigatory file, report, or other information as the board in its sole discretion believes would aid the investigation or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As a matter of general policy, the board will not disclose confidential complaint and investigative information to a licensee except as permitted by Iowa Code section </w:t>
      </w:r>
      <w:hyperlink r:id="rId8">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Disclosure of a complainant’s identity in advance of the filing of formal disciplinary charges, for instance, may adversely affect a complainant’s willingness to file a complaint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Exceptions to general rule. </w:t>
      </w:r>
      <w:r>
        <w:rPr>
          <w:rFonts w:ascii="Times New Roman" w:hAnsi="Times New Roman"/>
          <w:b w:val="false"/>
          <w:i w:val="false"/>
          <w:color w:val="000000"/>
          <w:sz w:val="22"/>
        </w:rPr>
        <w:t xml:space="preserve">The board may exercise its discretion to release information to a licensee that would otherwise be confidential under Iowa Code section </w:t>
      </w:r>
      <w:hyperlink r:id="rId9">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under narrow circumstances,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a board determination that probable cause exists to file disciplinary charges against a licensee and prior to the issuance of the notice of hearing, the board may provide the licensee with a peer review or investigative report or expert opinions, as reasonably needed for the licensee to assess the merits of a settlement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release to a licensee who is the subject of a board-initiated investigation, including investigations initiated following the board’s receipt of an anonymous complaint, such records or information as may aid the investigation or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may release information from a peer review or consultant’s report when the soliciting of the licensee’s position will aid in making the probable cause determination and such disclosure can be made to the licensee without revealing identifying information regarding the complainant, peer reviewer or consultant.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193A—15.6</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Subpoena authority. </w:t>
      </w:r>
      <w:r>
        <w:rPr>
          <w:rFonts w:ascii="Times New Roman" w:hAnsi="Times New Roman"/>
          <w:b w:val="false"/>
          <w:i w:val="false"/>
          <w:color w:val="000000"/>
          <w:sz w:val="22"/>
        </w:rPr>
        <w:t xml:space="preserve">Pursuant to Iowa Code sections </w:t>
      </w:r>
      <w:hyperlink r:id="rId10">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542.11(1)</w:t>
        </w:r>
      </w:hyperlink>
      <w:r>
        <w:rPr>
          <w:rFonts w:ascii="Times New Roman" w:hAnsi="Times New Roman"/>
          <w:b w:val="false"/>
          <w:i w:val="false"/>
          <w:color w:val="000000"/>
          <w:sz w:val="22"/>
        </w:rPr>
        <w:t xml:space="preserve">, the board is authorized in connection with a disciplinary investigation to issue subpoenas to compel witnesses to testify or persons to produce books, papers, records and any other real evidence, whether or not privileged or confidential under law, which the board deems necessary as evidence in connection with a disciplinary proceeding or relevant to the decision of whether to initiate a disciplinary proceeding. Board procedures concerning investigative subpoenas are set forth in </w:t>
      </w:r>
      <w:hyperlink r:id="rId13">
        <w:r>
          <w:rPr>
            <w:rStyle w:val="Hyperlink"/>
            <w:rFonts w:ascii="Times New Roman" w:hAnsi="Times New Roman"/>
            <w:b w:val="false"/>
            <w:i w:val="false"/>
            <w:color w:val="000000"/>
            <w:sz w:val="22"/>
          </w:rPr>
          <w:t>193—Chapter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193A—15.7</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board considers it advisable, or if requested by the affected licensee, the board may grant the licensee an opportunity to appear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licensee an opportunity to share the licensee’s side of a complaint in an informal setting before the board determines whether probable cause exists to initiate a disciplinary proceeding. A licensee may attend an informal discussion but is not compelled to do so. Because disciplinary investigations are confidential, a licensee is not permitted to bring persons other than legal counsel to an informal discussion. Where an allegation is made against a firm, the firm may be represented by a managing partner, member or other firm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board members or staff who personally investigate a disciplinary complaint are disqualified from making decisions or assisting the decision makers at a later formal hearing. Because board members generally rely upon investigators, peer review committees, or expert consultants to conduct investigations, the issue rarely arises. An informal discussion, however, is a form of investigation because it is conducted in a question and answer format. In order to preserve the ability of all board members to participate in board decision making and to receive the advice of staff, a licensee who desires to attend an informal discussion waives the right to seek disqualification of a board member or staff based solely on the board member’s or staff’s participation in an informal discussion. A licensee would not be waiving the right to seek disqualification on any other ground. By electing to attend an informal discussion, a licensee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propose a consent order at the time of the informal discussion. If the licensee agrees to a consent order, a statement of charges is filed simultaneously with the consent order as provided in rule </w:t>
      </w:r>
      <w:hyperlink r:id="rId14">
        <w:r>
          <w:rPr>
            <w:rStyle w:val="Hyperlink"/>
            <w:rFonts w:ascii="Times New Roman" w:hAnsi="Times New Roman"/>
            <w:b w:val="false"/>
            <w:i w:val="false"/>
            <w:color w:val="000000"/>
            <w:sz w:val="22"/>
          </w:rPr>
          <w:t>193—7.4</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193A—15.8</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The board may close a complaint file, with or without prior investigation. Given the broad scope of matters about which members of the public may have complaints, it is not possible to catalog all possible reasons why the board may close a complaint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15.8(2)</w:t>
      </w:r>
      <w:r>
        <w:rPr>
          <w:rFonts w:ascii="Times New Roman" w:hAnsi="Times New Roman"/>
          <w:b w:val="false"/>
          <w:i w:val="false"/>
          <w:color w:val="000000"/>
          <w:sz w:val="22"/>
        </w:rPr>
        <w:t> </w:t>
      </w:r>
      <w:r>
        <w:rPr>
          <w:rFonts w:ascii="Times New Roman" w:hAnsi="Times New Roman"/>
          <w:b w:val="false"/>
          <w:i/>
          <w:color w:val="000000"/>
          <w:sz w:val="22"/>
        </w:rPr>
        <w:t xml:space="preserve">Closing orders. </w:t>
      </w:r>
      <w:r>
        <w:rPr>
          <w:rFonts w:ascii="Times New Roman" w:hAnsi="Times New Roman"/>
          <w:b w:val="false"/>
          <w:i w:val="false"/>
          <w:color w:val="000000"/>
          <w:sz w:val="22"/>
        </w:rPr>
        <w:t>The board’s administrator may enter an order stating the basis for the board’s decision to close a complaint file. If entered, the order will not contain the identity of the complainant or the respondent and will not disclose confidential complaint or investigative information.</w:t>
      </w:r>
    </w:p>
    <w:p>
      <w:pPr>
        <w:spacing w:before="0" w:after="0"/>
        <w:ind w:left="120"/>
        <w:jc w:val="both"/>
      </w:pPr>
      <w:r>
        <w:rPr>
          <w:rFonts w:ascii="Times New Roman" w:hAnsi="Times New Roman"/>
          <w:b w:val="false"/>
          <w:i w:val="false"/>
          <w:color w:val="000000"/>
          <w:sz w:val="22"/>
        </w:rPr>
        <w:t xml:space="preserve">If entered, a closing order will be indexed by case number and is a public record pursuant to Iowa Code section </w:t>
      </w:r>
      <w:hyperlink r:id="rId15">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r>
        <w:rPr>
          <w:rFonts w:ascii="Times New Roman" w:hAnsi="Times New Roman"/>
          <w:b w:val="false"/>
          <w:i w:val="false"/>
          <w:color w:val="000000"/>
          <w:sz w:val="22"/>
        </w:rPr>
        <w:t xml:space="preserve"> A copy of the order may be mailed to the complainant, if any, and to the respondent. The board’s decision whether or not to pursue an investigation, to institute disciplinary proceedings, or to close a file is not subject to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The board may issue a confidential letter of caution to a licensee when a complaint file is closed that informally cautions or educates the licensee about matters that could form the basis for disciplinary action in the future if corrective action is not taken by the licensee. Informal cautionary letters do not constitute disciplinary action, but the board may take such letters into consideration in the future if a licensee continues a practice about which the licensee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board may reopen a closed complaint file if additional information arises after closure that provides a basis to reassess the merits of the initial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9/13/02, Notice 8/7/02—published 10/2/02, effective 11/6/02]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7691C</w:t>
      </w:r>
      <w:r>
        <w:rPr>
          <w:rFonts w:ascii="Times New Roman" w:hAnsi="Times New Roman"/>
          <w:b w:val="false"/>
          <w:i w:val="false"/>
          <w:color w:val="000000"/>
          <w:sz w:val="21"/>
        </w:rPr>
        <w:t xml:space="preserve"> (Notice ARC 7398C,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8.pdf" Type="http://schemas.openxmlformats.org/officeDocument/2006/relationships/hyperlink" Id="rId5"/>
    <Relationship TargetMode="External" Target="https://www.legis.iowa.gov/docs/ico/chapter/272C.6.pdf" Type="http://schemas.openxmlformats.org/officeDocument/2006/relationships/hyperlink" Id="rId6"/>
    <Relationship TargetMode="External" Target="https://www.legis.iowa.gov/docs/ico/chapter/10A.506.pdf" Type="http://schemas.openxmlformats.org/officeDocument/2006/relationships/hyperlink" Id="rId7"/>
    <Relationship TargetMode="External" Target="https://www.legis.iowa.gov/docs/ico/chapter/272C.6.pdf" Type="http://schemas.openxmlformats.org/officeDocument/2006/relationships/hyperlink" Id="rId8"/>
    <Relationship TargetMode="External" Target="https://www.legis.iowa.gov/docs/ico/chapter/272C.6.pdf" Type="http://schemas.openxmlformats.org/officeDocument/2006/relationships/hyperlink" Id="rId9"/>
    <Relationship TargetMode="External" Target="https://www.legis.iowa.gov/docs/ico/chapter/17A.13.pdf" Type="http://schemas.openxmlformats.org/officeDocument/2006/relationships/hyperlink" Id="rId10"/>
    <Relationship TargetMode="External" Target="https://www.legis.iowa.gov/docs/ico/chapter/272C.6.pdf" Type="http://schemas.openxmlformats.org/officeDocument/2006/relationships/hyperlink" Id="rId11"/>
    <Relationship TargetMode="External" Target="https://www.legis.iowa.gov/docs/ico/chapter/542.11.pdf" Type="http://schemas.openxmlformats.org/officeDocument/2006/relationships/hyperlink" Id="rId12"/>
    <Relationship TargetMode="External" Target="https://www.legis.iowa.gov/docs/iac/chapter/193.6.pdf" Type="http://schemas.openxmlformats.org/officeDocument/2006/relationships/hyperlink" Id="rId13"/>
    <Relationship TargetMode="External" Target="https://www.legis.iowa.gov/docs/iac/rule/193.7.4.pdf" Type="http://schemas.openxmlformats.org/officeDocument/2006/relationships/hyperlink" Id="rId14"/>
    <Relationship TargetMode="External" Target="https://www.legis.iowa.gov/docs/ico/chapter/17A.3.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co/chapter/542.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