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193A—10.1</w:t>
      </w:r>
      <w:r>
        <w:rPr>
          <w:rFonts w:ascii="Times New Roman" w:hAnsi="Times New Roman"/>
          <w:b/>
          <w:i w:val="false"/>
          <w:color w:val="000000"/>
          <w:sz w:val="22"/>
        </w:rPr>
        <w:t xml:space="preserve">(542) </w:t>
      </w:r>
      <w:r>
        <w:rPr>
          <w:rFonts w:ascii="Times New Roman" w:hAnsi="Times New Roman"/>
          <w:b/>
          <w:i w:val="false"/>
          <w:color w:val="000000"/>
          <w:sz w:val="22"/>
        </w:rPr>
        <w:t xml:space="preserve">Scope. </w:t>
      </w:r>
      <w:r>
        <w:rPr>
          <w:rFonts w:ascii="Times New Roman" w:hAnsi="Times New Roman"/>
          <w:b w:val="false"/>
          <w:i w:val="false"/>
          <w:color w:val="000000"/>
          <w:sz w:val="22"/>
        </w:rPr>
        <w:t>The right to use the title “Certified Public Accountant” and “Licensed Public Accountant” is regulated in the public interest and imposes a duty on accounting professionals to maintain public confidence and current knowledge, skills, and abilities in all areas of services. CPAs and LPAs have to accept and fulfill their ethical responsibilities to the public and the profession regardless of their fields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The development of professional competence involves a continued commitment to learning and professional improvement. A CPA and an LPA performing professional services need to have a broad range of knowledge, skills and abilities. A program that promotes professional competence in the practice of accountancy is defined as one that refers to the process, methods, or principles of accounting or is directly related to the CPA’s and LPA’s employment and is above the level of the CPA’s and LPA’s current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Acceptable subjects for continuing professional education include accounting, assurance/auditing, consulting services, specialized knowledge and applications, management, taxation, and ethics. Other subjects, including nontechnical professional skills, may be approved by the board if they maintain or improve CPAs’ and LPAs’ competence in their current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193A—10.2</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professional education (CPE)” </w:t>
      </w:r>
      <w:r>
        <w:rPr>
          <w:rFonts w:ascii="Times New Roman" w:hAnsi="Times New Roman"/>
          <w:b w:val="false"/>
          <w:i w:val="false"/>
          <w:color w:val="000000"/>
          <w:sz w:val="22"/>
        </w:rPr>
        <w:t>means education that is acquired by a licensee in order to maintain, improve, or expand skills and knowledge present at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meeting” </w:t>
      </w:r>
      <w:r>
        <w:rPr>
          <w:rFonts w:ascii="Times New Roman" w:hAnsi="Times New Roman"/>
          <w:b w:val="false"/>
          <w:i w:val="false"/>
          <w:color w:val="000000"/>
          <w:sz w:val="22"/>
        </w:rPr>
        <w:t>means a formally arranged gathering/assembly of staff or management groups or both to inform them of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program” </w:t>
      </w:r>
      <w:r>
        <w:rPr>
          <w:rFonts w:ascii="Times New Roman" w:hAnsi="Times New Roman"/>
          <w:b w:val="false"/>
          <w:i w:val="false"/>
          <w:color w:val="000000"/>
          <w:sz w:val="22"/>
        </w:rPr>
        <w:t>means a structured learning activity based on clearly defined learning objectives and outcomes that articulate achievable knowledge, skills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“In-house or on-site training” </w:t>
      </w:r>
      <w:r>
        <w:rPr>
          <w:rFonts w:ascii="Times New Roman" w:hAnsi="Times New Roman"/>
          <w:b w:val="false"/>
          <w:i w:val="false"/>
          <w:color w:val="000000"/>
          <w:sz w:val="22"/>
        </w:rPr>
        <w:t>means a formally organized professional educational program sponsored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instruction” </w:t>
      </w:r>
      <w:r>
        <w:rPr>
          <w:rFonts w:ascii="Times New Roman" w:hAnsi="Times New Roman"/>
          <w:b w:val="false"/>
          <w:i w:val="false"/>
          <w:color w:val="000000"/>
          <w:sz w:val="22"/>
        </w:rPr>
        <w:t>means an educational program delivered in a classroom setting or through videoconferencing whereby the instructor and student carry out essential tasks while together. Examples include distance learning and webcasts.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“Nontechnical professional skills” </w:t>
      </w:r>
      <w:r>
        <w:rPr>
          <w:rFonts w:ascii="Times New Roman" w:hAnsi="Times New Roman"/>
          <w:b w:val="false"/>
          <w:i w:val="false"/>
          <w:color w:val="000000"/>
          <w:sz w:val="22"/>
        </w:rPr>
        <w:t>means formal programs of learning that contribute to the professional competence of a certificate holder or license holder in fields of study that indirectly relate to the holder’s field of business. “Nontechnical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Interpersonal management;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Leadership and personal development;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and public relations;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Practice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Marketing;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Motivational and behavioral;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Speed reading and memory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instructor” </w:t>
      </w:r>
      <w:r>
        <w:rPr>
          <w:rFonts w:ascii="Times New Roman" w:hAnsi="Times New Roman"/>
          <w:b w:val="false"/>
          <w:i w:val="false"/>
          <w:color w:val="000000"/>
          <w:sz w:val="22"/>
        </w:rPr>
        <w:t>means an individual whose training and experience adequately prepares the individual to carry out specified training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“Self-study” </w:t>
      </w:r>
      <w:r>
        <w:rPr>
          <w:rFonts w:ascii="Times New Roman" w:hAnsi="Times New Roman"/>
          <w:b w:val="false"/>
          <w:i w:val="false"/>
          <w:color w:val="000000"/>
          <w:sz w:val="22"/>
        </w:rPr>
        <w:t>means a computer-generated program or written materials or exercises intended for self-study that do not include simultaneous interaction with an instructor but do include tests transmitted to the provider for review and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professional skills” </w:t>
      </w:r>
      <w:r>
        <w:rPr>
          <w:rFonts w:ascii="Times New Roman" w:hAnsi="Times New Roman"/>
          <w:b w:val="false"/>
          <w:i w:val="false"/>
          <w:color w:val="000000"/>
          <w:sz w:val="22"/>
        </w:rPr>
        <w:t>means formal programs of learning that contribute to the professional competence of a certificate holder or license holder in fields of study that directly relate to the holder’s field of business. “Technical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Auditing standards or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Compilation and review of financial statements;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Financial statement preparation and disclosures;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Attestation standards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Projection and forecast standards or procedures;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and auditing;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Management advisory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Personal financial planning;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Taxation;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Management information systems;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Budgeting and cost analysis;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Asset management;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Specialized areas of industry;</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Human resource management;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Economics;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Business law;</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Mathematics, statistics and quantitative applications in business;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Business management and organization;</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General computer skills, computer software training, information technology planning and management;</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Operations management, inventory, and production; and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Negotiation or dispute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r>
        <w:rPr>
          <w:rFonts w:ascii="Times New Roman" w:hAnsi="Times New Roman"/>
          <w:b w:val="false"/>
          <w:i w:val="false"/>
          <w:color w:val="000000"/>
          <w:sz w:val="22"/>
        </w:rPr>
        <w:t>Completion of continuing professional education is a condition precedent to the renewal of the certificate 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193A—10.4</w:t>
      </w:r>
      <w:r>
        <w:rPr>
          <w:rFonts w:ascii="Times New Roman" w:hAnsi="Times New Roman"/>
          <w:b/>
          <w:i w:val="false"/>
          <w:color w:val="000000"/>
          <w:sz w:val="22"/>
        </w:rPr>
        <w:t xml:space="preserve">(542) </w:t>
      </w:r>
      <w:r>
        <w:rPr>
          <w:rFonts w:ascii="Times New Roman" w:hAnsi="Times New Roman"/>
          <w:b/>
          <w:i w:val="false"/>
          <w:color w:val="000000"/>
          <w:sz w:val="22"/>
        </w:rPr>
        <w:t xml:space="preserve">Cost of continuing professional education. </w:t>
      </w:r>
      <w:r>
        <w:rPr>
          <w:rFonts w:ascii="Times New Roman" w:hAnsi="Times New Roman"/>
          <w:b w:val="false"/>
          <w:i w:val="false"/>
          <w:color w:val="000000"/>
          <w:sz w:val="22"/>
        </w:rPr>
        <w:t>All costs of completing continuing professional education are the responsibility of the certificate holder or license holder wishing to maintain registration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193A—10.5</w:t>
      </w:r>
      <w:r>
        <w:rPr>
          <w:rFonts w:ascii="Times New Roman" w:hAnsi="Times New Roman"/>
          <w:b/>
          <w:i w:val="false"/>
          <w:color w:val="000000"/>
          <w:sz w:val="22"/>
        </w:rPr>
        <w:t xml:space="preserve">(542) </w:t>
      </w:r>
      <w:r>
        <w:rPr>
          <w:rFonts w:ascii="Times New Roman" w:hAnsi="Times New Roman"/>
          <w:b/>
          <w:i w:val="false"/>
          <w:color w:val="000000"/>
          <w:sz w:val="22"/>
        </w:rPr>
        <w:t xml:space="preserve">Basic continuing professional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10.5(7)</w:t>
        </w:r>
      </w:hyperlink>
      <w:r>
        <w:rPr>
          <w:rFonts w:ascii="Times New Roman" w:hAnsi="Times New Roman"/>
          <w:b w:val="false"/>
          <w:i w:val="false"/>
          <w:color w:val="000000"/>
          <w:sz w:val="22"/>
        </w:rPr>
        <w:t>, an applicant for renewal will have completed 120 hours of qualifying continuing professional education during the three-year period ending on the December 31 or June 30 preceding the July 1 renewal date of the certificate or license.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each renewal, a CPA or LPA self-selects December 31 or June 30 as the date by which continuing education will be completed in order to be eligible to renew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need to maintain continuing education records in a manner that corresponds with the self-selected continuing education deadline of December 31 or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declaring a June 30 continuing education deadline, licensees should be cautious to ensure that the continuing education is fully completed on or prior to the date the renewal application is submitted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who renew with penalty during the 30-day grace period following June 30 need to declare either December 31 or June 30 as the continuing education deadline. The deadline cannot be extended beyond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At the first annual renewal date of July 1 that is less than 12 months from the date of filing of the initial application for the certificate or license, the certificate holder or license holder is not required to report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12 months or more than 12 months, but less than 24 months, from the date of filing of the initial application for the certificate or license, the certificate holder or license holder will report 40 hours of continuing professional education earned in the one-year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24 months or more than 24 months, but less than 36 months, from the date of filing of the initial application for the certificate or license, the certificate holder or license holder will report 80 hours of continuing professional education earned in the two-year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val="false"/>
          <w:color w:val="000000"/>
          <w:sz w:val="22"/>
        </w:rPr>
        <w:t>A licensee is deemed to have completed continuing education under this rule if, for the period that the licensee is a resident of another state or district having a continuing professional education obligation, the licensee met the resident state’s mandatory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military service, foreign residency, retirement, or other good cause. No exceptions may be made solely because of age. Applicants entitled to a full or partial exception under the provisions of Iowa Code section </w:t>
      </w:r>
      <w:hyperlink r:id="rId7">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xml:space="preserve"> for active military service or government service outside of the United States may request an exception by submitting acceptable documentation as applicable to the exception requested. Applicants seeking an exception on other grounds of undue hardship can submit an application for waiver as provided in </w:t>
      </w:r>
      <w:hyperlink r:id="rId8">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apply to reinstate a lapsed or inactive certificate or license to active status pursuant to </w:t>
      </w:r>
      <w:hyperlink r:id="rId9">
        <w:r>
          <w:rPr>
            <w:rStyle w:val="Hyperlink"/>
            <w:rFonts w:ascii="Times New Roman" w:hAnsi="Times New Roman"/>
            <w:b w:val="false"/>
            <w:i w:val="false"/>
            <w:color w:val="000000"/>
            <w:sz w:val="22"/>
          </w:rPr>
          <w:t>193A—subrule 5.6(3)</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5.9(7)</w:t>
        </w:r>
      </w:hyperlink>
      <w:r>
        <w:rPr>
          <w:rFonts w:ascii="Times New Roman" w:hAnsi="Times New Roman"/>
          <w:b w:val="false"/>
          <w:i w:val="false"/>
          <w:color w:val="000000"/>
          <w:sz w:val="22"/>
        </w:rPr>
        <w:t xml:space="preserve"> need to satisfy 120 hours of continuing professional education earned in the preceding three-year period prior to the date of the application, including all mandatory education described in rule </w:t>
      </w:r>
      <w:hyperlink r:id="rId11">
        <w:r>
          <w:rPr>
            <w:rStyle w:val="Hyperlink"/>
            <w:rFonts w:ascii="Times New Roman" w:hAnsi="Times New Roman"/>
            <w:b w:val="false"/>
            <w:i w:val="false"/>
            <w:color w:val="000000"/>
            <w:sz w:val="22"/>
          </w:rPr>
          <w:t>193A—10.7</w:t>
        </w:r>
      </w:hyperlink>
      <w:r>
        <w:rPr>
          <w:rFonts w:ascii="Times New Roman" w:hAnsi="Times New Roman"/>
          <w:b w:val="false"/>
          <w:i w:val="false"/>
          <w:color w:val="000000"/>
          <w:sz w:val="22"/>
        </w:rPr>
        <w:t xml:space="preserve">(542). Once the certificate or license is reinstated, the continuing education obligations apply at each subsequent renewal. The 120-hour obligation described in this subrule is modified as needed to incorporate the phase-in schedule for initial licensees described in subrules </w:t>
      </w:r>
      <w:hyperlink r:id="rId12">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193A—10.6</w:t>
      </w:r>
      <w:r>
        <w:rPr>
          <w:rFonts w:ascii="Times New Roman" w:hAnsi="Times New Roman"/>
          <w:b/>
          <w:i w:val="false"/>
          <w:color w:val="000000"/>
          <w:sz w:val="22"/>
        </w:rPr>
        <w:t xml:space="preserve">(542) </w:t>
      </w:r>
      <w:r>
        <w:rPr>
          <w:rFonts w:ascii="Times New Roman" w:hAnsi="Times New Roman"/>
          <w:b/>
          <w:i w:val="false"/>
          <w:color w:val="000000"/>
          <w:sz w:val="22"/>
        </w:rPr>
        <w:t xml:space="preserve">Measurement standards. </w:t>
      </w:r>
      <w:r>
        <w:rPr>
          <w:rFonts w:ascii="Times New Roman" w:hAnsi="Times New Roman"/>
          <w:b w:val="false"/>
          <w:i w:val="false"/>
          <w:color w:val="000000"/>
          <w:sz w:val="22"/>
        </w:rPr>
        <w:t>The following standards will be used to measure the hours of credit to be given for qualifying continuing professional education programs completed by individual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Credit is measured with one 50-minute period equaling one contact hour of credit. Half-hour credits may be allowed (equal to not less than 25 minutes) after the first hour of credit has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Only class hours or the equivalent, and not student hours devoted to preparation,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Credit expressed as continuing education units (CEUs) will be counted as ten contact hours for each continuing professional education unit. (0.1 CEU = 1 CPE)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Service as lecturer or discussion leader of continuing professional education programs will be counted to the extent that this service contributes to the applicant’s professional competence.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193A—10.7</w:t>
      </w:r>
      <w:r>
        <w:rPr>
          <w:rFonts w:ascii="Times New Roman" w:hAnsi="Times New Roman"/>
          <w:b/>
          <w:i w:val="false"/>
          <w:color w:val="000000"/>
          <w:sz w:val="22"/>
        </w:rPr>
        <w:t xml:space="preserve">(542) </w:t>
      </w:r>
      <w:r>
        <w:rPr>
          <w:rFonts w:ascii="Times New Roman" w:hAnsi="Times New Roman"/>
          <w:b/>
          <w:i w:val="false"/>
          <w:color w:val="000000"/>
          <w:sz w:val="22"/>
        </w:rPr>
        <w:t xml:space="preserve">Mandatory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who is responsible for supervising compilation services or who signs or authorizes someone to sign the accountant’s compilation report on behalf of a firm will complete, as a condition of certificate or license renewal, a minimum of eight hours of continuing professional education devoted to financial statement presentation, such as courses covering the statements on standards for accounting and review services (SSARS) and accounting and auditing updates. The financial statement presentation continuing education has to be completed within the three-year period ending on the December 31 or June 30 preceding the application for certificate or license renewal. For credit to be claimed for a course covering multiple topics, a minimum of one hour as outlined in subrule </w:t>
      </w:r>
      <w:hyperlink r:id="rId14">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xml:space="preserve"> has to be devoted to financial statement presentation. For example, if a seminar or presentation is conducted for a total of four hours and only one hour is devoted to financial statement presentation, then only one hour may be claimed toward satisfaction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needs to complete a minimum of four hours of continuing education devoted to ethics and rules of professional conduct during the three-year period ending December 31 or June 30, prior to the July 1 annual renewal date. For a course to qualify to satisfy this subrule, the course description will clearly outline the subject matter covered as professional or business ethics. If credit is to be claimed for a course covering multiple topics, a minimum of one hour as outlined in rule </w:t>
      </w:r>
      <w:hyperlink r:id="rId15">
        <w:r>
          <w:rPr>
            <w:rStyle w:val="Hyperlink"/>
            <w:rFonts w:ascii="Times New Roman" w:hAnsi="Times New Roman"/>
            <w:b w:val="false"/>
            <w:i w:val="false"/>
            <w:color w:val="000000"/>
            <w:sz w:val="22"/>
          </w:rPr>
          <w:t>193A—10.6</w:t>
        </w:r>
      </w:hyperlink>
      <w:r>
        <w:rPr>
          <w:rFonts w:ascii="Times New Roman" w:hAnsi="Times New Roman"/>
          <w:b w:val="false"/>
          <w:i w:val="false"/>
          <w:color w:val="000000"/>
          <w:sz w:val="22"/>
        </w:rPr>
        <w:t xml:space="preserve">(542), measurement standards, specifically in subrule </w:t>
      </w:r>
      <w:hyperlink r:id="rId16">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needs to be devoted to business or professional ethics. For example, if a seminar or presentation is conducted for a total of four hours and only one hour is devoted to business or professional ethics, then only one hour may be claimed toward satisfaction of this subrule. Ethics courses, which are defined as courses dealing with regulatory and behavioral ethics, are limited to courses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Acts discreditable;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Advertising and other forms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Integrity and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Confidential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Contingent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Full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Record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Ethical practice in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Personal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Ethical decision making;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Corporate ethics and risk management as these topics relate to malpractice and relate solely to the practice of certified public accounting.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193A—10.8</w:t>
      </w:r>
      <w:r>
        <w:rPr>
          <w:rFonts w:ascii="Times New Roman" w:hAnsi="Times New Roman"/>
          <w:b/>
          <w:i w:val="false"/>
          <w:color w:val="000000"/>
          <w:sz w:val="22"/>
        </w:rPr>
        <w:t xml:space="preserve">(542) </w:t>
      </w:r>
      <w:r>
        <w:rPr>
          <w:rFonts w:ascii="Times New Roman" w:hAnsi="Times New Roman"/>
          <w:b/>
          <w:i w:val="false"/>
          <w:color w:val="000000"/>
          <w:sz w:val="22"/>
        </w:rPr>
        <w:t xml:space="preserve">Programs that qualify and CPE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The overriding consideration in determining whether a specific program qualifies as acceptable continuing education is that it be a formal program of learning that contributes directly to the professional competence of an individual certified or licensed in this state. It will be left to each individual certificate holder or license holder to determine the technical or nontechnical professional skills courses of study to be pursued. Thus, the auditor may study accounting and auditing, the tax practitioner may study taxes, and the management advisory services practitioner may study subjects related to such practice. Job-related continuing professional education qualifies as acceptable provided the courses selected from nontechnical professional skills contribute to the professional competence of the certificate holder or license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Program standards have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Learning activities based on clearly defined, relevant learning objectives and outcomes that clearly articulate the knowledge, skills, and abilities that can be achieved by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Learning activities developed in a manner consistent with the prerequisite education, experience, and advanced preparation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materials, and delivery systems that are current, technically accurate, and effectively designed. Providers, sponsors, or contractors that are competent in the subject matter. Competence may be demonstrated through practical experience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Learning programs that are reviewed by qualified persons other than those who develop the program to ensure that the program is technically accurate and current and addresses the stated learning objectives. This standard is waived for single presentations such as lectures that are given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education programs will qualify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outline of the program is prepared in advance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at least one hour (50-minute period)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attendance or certification of completion or transcript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are deemed to qualify provided all other criteria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programs of recognized national and state accounting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Technical sessions at meetings of recognized national and state accounting organizations and their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Formally organized in-house or on-site educational programs provided by the certificate holder’s or license holder’s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learning programs or group study webcast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University or college courses meet the continuing professional education obligations of those attending. Each semester hour is equal to 15 contact hours of credit. Each quarter hour is equal to 10 contact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Technical or nontechnical sessions offered by employers in business and industry, as well as firms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val="false"/>
          <w:color w:val="000000"/>
          <w:sz w:val="22"/>
        </w:rPr>
        <w:t>Formal correspondence and formal self-study programs contributing directly to the professional competence of an individual that obligate the licensee to register and provide evidence of satisfactory completion will be considered for credit. The amount of credit to be allowed for correspondence and formal self-study programs (including tested study programs) will be recommended by the program sponsor and based upon appropriate “field tests” and will not exceed 50 percent of the renewal obligation. A licensee claiming credit for correspondence or formal self-study courses will obtain evidence of satisfactory completion of the course from the program sponsor.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self-study programs on the basis of one hour of credit for each 50 minutes spent on the self-study program if the developer of such programs is approved by either the national continuing professional education registry or by the NASBA continuing education registry and the program sponsor has not designated the amount of credit to be claimed for completing the course of study. The licensee has to estimate the equivalent number of hours and justify the amount of hours claimed. The maximum credit will not exceed 50 percent of the renewal obligation.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w:t>
      </w:r>
      <w:r>
        <w:rPr>
          <w:rFonts w:ascii="Times New Roman" w:hAnsi="Times New Roman"/>
          <w:b w:val="false"/>
          <w:i w:val="false"/>
          <w:color w:val="000000"/>
          <w:sz w:val="22"/>
        </w:rPr>
        <w:t> </w:t>
      </w:r>
      <w:r>
        <w:rPr>
          <w:rFonts w:ascii="Times New Roman" w:hAnsi="Times New Roman"/>
          <w:b w:val="false"/>
          <w:i w:val="false"/>
          <w:color w:val="000000"/>
          <w:sz w:val="22"/>
        </w:rPr>
        <w:t>The credit allowed an instructor, discussion leader, or speaker will be on the basis of two hours for subject preparation for each hour of teaching. Credit for teaching college or university coursework may be claimed for courses taught above the elementary accounting or principles of accounting level. Repetitious presentations will not be considered. The maximum credit for such preparation and teaching will not exceed 50 percent of the renewal period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w:t>
      </w:r>
      <w:r>
        <w:rPr>
          <w:rFonts w:ascii="Times New Roman" w:hAnsi="Times New Roman"/>
          <w:b w:val="false"/>
          <w:i w:val="false"/>
          <w:color w:val="000000"/>
          <w:sz w:val="22"/>
        </w:rPr>
        <w:t> </w:t>
      </w:r>
      <w:r>
        <w:rPr>
          <w:rFonts w:ascii="Times New Roman" w:hAnsi="Times New Roman"/>
          <w:b w:val="false"/>
          <w:i w:val="false"/>
          <w:color w:val="000000"/>
          <w:sz w:val="22"/>
        </w:rPr>
        <w:t>Credit may be awarded for published articles and books. The amount of credit so awarded will be determined by the board. Credit may be allowed for published articles and books provided they contribute to the professional competence of the licensee. Credit for preparation of such publications may be given on a self-declaration basis up to 25 percent of the renewal period obligation. In exceptional circumstances, a licensee may request additional credit by submitting the article(s) or book(s) to the board with an explanation of the circumstances that the licensee believes justify additional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the successful completion of professional examinations as detailed below. Credit is calculated at the rate of five times the length of each examination, which is presumed to include all preparation time, claimed in the calendar year of the examination, and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Management Accountant/CMA.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Information Systems Auditor/CISA.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Information Technology Professional/CITP.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Financial Planner/CFP.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Enrolled Agent/EA.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Certified Governmental Financial Manager/CGFM.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Certified Government Auditing Professional/CGAP.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Certified Internal Auditor/CIA.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Accredited Business Valuation/ABV.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Certified Financial Forensics/CFF.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Certified Valuation Analyst/CVA.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Certified Insolvency &amp; Restructuring Advisor/CIRA.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Forensic Certified Public Accountant/FCPA.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Certified Fraud Examiner/CFE.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Certified Business Analyst/CBA.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Certified Trust and Financial Advisor/CTFA.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Chartered Financial Analyst/CFA.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Registered Representative, Series 6 and 7 and other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Registered Investment Advisor/RIA.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Certified Forensic Accountant/CrFA.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Personal Financial Specialist/PFS.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Chartered Life Underwriter/CLU.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Fellow of the Society of Actuaries/FSA.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Chartered Property &amp; Casualty Underwriter/CPCU.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Fellow Life Management Institute/FLMI.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Other similar examinations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w:t>
      </w:r>
      <w:r>
        <w:rPr>
          <w:rFonts w:ascii="Times New Roman" w:hAnsi="Times New Roman"/>
          <w:b w:val="false"/>
          <w:i w:val="false"/>
          <w:color w:val="000000"/>
          <w:sz w:val="22"/>
        </w:rPr>
        <w:t> </w:t>
      </w:r>
      <w:r>
        <w:rPr>
          <w:rFonts w:ascii="Times New Roman" w:hAnsi="Times New Roman"/>
          <w:b w:val="false"/>
          <w:i w:val="false"/>
          <w:color w:val="000000"/>
          <w:sz w:val="22"/>
        </w:rPr>
        <w:t xml:space="preserve">Firm meetings for staff or management groups for the purpose of administrative and firm matters do not meet the standards set forth in subrule </w:t>
      </w:r>
      <w:hyperlink r:id="rId17">
        <w:r>
          <w:rPr>
            <w:rStyle w:val="Hyperlink"/>
            <w:rFonts w:ascii="Times New Roman" w:hAnsi="Times New Roman"/>
            <w:b w:val="false"/>
            <w:i w:val="false"/>
            <w:color w:val="000000"/>
            <w:sz w:val="22"/>
          </w:rPr>
          <w:t>10.8(1)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val="false"/>
          <w:color w:val="000000"/>
          <w:sz w:val="22"/>
        </w:rPr>
        <w:t>Dinner, luncheon and breakfast meetings of recognized organizations may qualify if they meet the appropriate provisions and are limited to 25 percent of the total renewal criteria if the individual meeting is no more than two hours long.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professional education taken in nontechnical skills area as defined in rule </w:t>
      </w:r>
      <w:hyperlink r:id="rId18">
        <w:r>
          <w:rPr>
            <w:rStyle w:val="Hyperlink"/>
            <w:rFonts w:ascii="Times New Roman" w:hAnsi="Times New Roman"/>
            <w:b w:val="false"/>
            <w:i w:val="false"/>
            <w:color w:val="000000"/>
            <w:sz w:val="22"/>
          </w:rPr>
          <w:t>193A—10.2</w:t>
        </w:r>
      </w:hyperlink>
      <w:r>
        <w:rPr>
          <w:rFonts w:ascii="Times New Roman" w:hAnsi="Times New Roman"/>
          <w:b w:val="false"/>
          <w:i w:val="false"/>
          <w:color w:val="000000"/>
          <w:sz w:val="22"/>
        </w:rPr>
        <w:t>(542) is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10.8(13)</w:t>
      </w:r>
      <w:r>
        <w:rPr>
          <w:rFonts w:ascii="Times New Roman" w:hAnsi="Times New Roman"/>
          <w:b w:val="false"/>
          <w:i w:val="false"/>
          <w:color w:val="000000"/>
          <w:sz w:val="22"/>
        </w:rPr>
        <w:t> </w:t>
      </w:r>
      <w:r>
        <w:rPr>
          <w:rFonts w:ascii="Times New Roman" w:hAnsi="Times New Roman"/>
          <w:b w:val="false"/>
          <w:i w:val="false"/>
          <w:color w:val="000000"/>
          <w:sz w:val="22"/>
        </w:rPr>
        <w:t>The board may look to recognized state or national accounting organizations for assistance in interpreting the acceptability of and credit to be allowed for individual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10.8(14)</w:t>
      </w:r>
      <w:r>
        <w:rPr>
          <w:rFonts w:ascii="Times New Roman" w:hAnsi="Times New Roman"/>
          <w:b w:val="false"/>
          <w:i w:val="false"/>
          <w:color w:val="000000"/>
          <w:sz w:val="22"/>
        </w:rPr>
        <w:t> </w:t>
      </w:r>
      <w:r>
        <w:rPr>
          <w:rFonts w:ascii="Times New Roman" w:hAnsi="Times New Roman"/>
          <w:b w:val="false"/>
          <w:i w:val="false"/>
          <w:color w:val="000000"/>
          <w:sz w:val="22"/>
        </w:rPr>
        <w:t>The right is specifically reserved to the board to approve or deny credit for continuing professional education claimed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193A—10.9</w:t>
      </w:r>
      <w:r>
        <w:rPr>
          <w:rFonts w:ascii="Times New Roman" w:hAnsi="Times New Roman"/>
          <w:b/>
          <w:i w:val="false"/>
          <w:color w:val="000000"/>
          <w:sz w:val="22"/>
        </w:rPr>
        <w:t xml:space="preserve">(542)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An applicant for renewal may be requested to provide, in such manner, including but not limited to the online renewal process, and at such time as set forth by the board, verification and documentation setting forth the continuing professional education in which the licensee has participated. The board may allow for attestation that the licensee has completed continuing education in lieu of providing a listing. If the applicant for renewal is requested to provide a listing of the continuing professional education completed,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of course or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Course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instruction or delivery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Amount of CPE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Verification by CPE program sponsor representative.</w:t>
      </w:r>
    </w:p>
    <w:p>
      <w:pPr>
        <w:spacing w:before="0" w:after="0"/>
        <w:ind w:left="120"/>
        <w:jc w:val="both"/>
      </w:pPr>
      <w:r>
        <w:rPr>
          <w:rFonts w:ascii="Times New Roman" w:hAnsi="Times New Roman"/>
          <w:b w:val="false"/>
          <w:i w:val="false"/>
          <w:color w:val="000000"/>
          <w:sz w:val="22"/>
        </w:rPr>
        <w:t>Canceled checks and registration forms are not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sponsors of courses to furnish an attendance record, a certification of completion or any other information the board deems essential for administration of these continuing professional education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The board will verify, on a test basis, information submitted by licensees. If an application for renewal is not approved, the applicant will be so notified and may be granted a period of time by the board in which to correct the deficiencies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responsibilities for documenting the continuing education compliance is with the licensee, and such documentation has to be retained for a period of three years subsequent to submission of the report claiming the credit. (More information can be found in </w:t>
      </w:r>
      <w:hyperlink r:id="rId19">
        <w:r>
          <w:rPr>
            <w:rStyle w:val="Hyperlink"/>
            <w:rFonts w:ascii="Times New Roman" w:hAnsi="Times New Roman"/>
            <w:b w:val="false"/>
            <w:i w:val="false"/>
            <w:color w:val="000000"/>
            <w:sz w:val="22"/>
          </w:rPr>
          <w:t>193A—subrule 14.3(1)</w:t>
        </w:r>
      </w:hyperlink>
      <w:r>
        <w:rPr>
          <w:rFonts w:ascii="Times New Roman" w:hAnsi="Times New Roman"/>
          <w:b w:val="false"/>
          <w:i w:val="false"/>
          <w:color w:val="000000"/>
          <w:sz w:val="22"/>
        </w:rPr>
        <w:t xml:space="preserve"> and Iowa Code section </w:t>
      </w:r>
      <w:hyperlink r:id="rId20">
        <w:r>
          <w:rPr>
            <w:rStyle w:val="Hyperlink"/>
            <w:rFonts w:ascii="Times New Roman" w:hAnsi="Times New Roman"/>
            <w:b w:val="false"/>
            <w:i w:val="false"/>
            <w:color w:val="000000"/>
            <w:sz w:val="22"/>
          </w:rPr>
          <w:t>542.10(1)</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 provides for permanent revocation based on fraud or deceit in procuring a license.) Satisfaction of the obligations, including retention of attendance records, certification of completion records, and written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in accredited universities and colleges (state, community, or private) or high school districts, evidence of satisfactory completion of the course will be sufficient; for noncredit courses taken, a statement of the hours of attendance, signed by the instructor,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correspondence and formal independent self-study courses, written evidence or a certificate of completion from the sponsor or course provider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licensee will maintain a record of the information as listed in subrule </w:t>
      </w:r>
      <w:hyperlink r:id="rId21">
        <w:r>
          <w:rPr>
            <w:rStyle w:val="Hyperlink"/>
            <w:rFonts w:ascii="Times New Roman" w:hAnsi="Times New Roman"/>
            <w:b w:val="false"/>
            <w:i w:val="false"/>
            <w:color w:val="000000"/>
            <w:sz w:val="22"/>
          </w:rPr>
          <w:t>10.8(3)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193A—10.10</w:t>
      </w:r>
      <w:r>
        <w:rPr>
          <w:rFonts w:ascii="Times New Roman" w:hAnsi="Times New Roman"/>
          <w:b/>
          <w:i w:val="false"/>
          <w:color w:val="000000"/>
          <w:sz w:val="22"/>
        </w:rPr>
        <w:t xml:space="preserve">(542)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licensee or an applicant is subject to discipline, including permanent revocation, if the licensee or applicant provides false information to the board in connection with an application to renew or reinstate a certificate or license. A licensee or an applicant is also subject to discipline if the licensee or applicant is unable to document the continuing professional education hours reported to the board in connection with an audit or other request for documentation. False information of this nature will subject the licensee or applicant to discipline whether the false information was supplied intentionally or with reckless disregard for the truth or accuracy of the number of hours claimed. Licensees and applicants are accordingly cautioned to supply the board with accurate continuing professional education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193A—10.11</w:t>
      </w:r>
      <w:r>
        <w:rPr>
          <w:rFonts w:ascii="Times New Roman" w:hAnsi="Times New Roman"/>
          <w:b/>
          <w:i w:val="false"/>
          <w:color w:val="000000"/>
          <w:sz w:val="22"/>
        </w:rPr>
        <w:t xml:space="preserve">(272C,542) </w:t>
      </w:r>
      <w:r>
        <w:rPr>
          <w:rFonts w:ascii="Times New Roman" w:hAnsi="Times New Roman"/>
          <w:b/>
          <w:i w:val="false"/>
          <w:color w:val="000000"/>
          <w:sz w:val="22"/>
        </w:rPr>
        <w:t xml:space="preserve">Alternative continuing education cycles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For a variety of reasons, some CPAs and LPAs may wish to complete their continuing education on a three-year cycle ending on a date other than December 31. By way of illustration, some licensees may prefer to take courses on particular substantive topics that are not always offered at the same time each year. Some licensees may wish to schedule continuing education to comply with the differing obligations of multiple jurisdictions. This rule is intended to authorize a more flexible time frame within which continuing education may be satisfied. This rule does not alter any other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color w:val="000000"/>
          <w:sz w:val="22"/>
        </w:rPr>
        <w:t xml:space="preserve">Declaration may vary by renewal cycle.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 Licensees are expected to maintain continuing education records in a manner that complies with the self-selected declaration in any particular renewal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5/10/06, Notice 1/18/06—published 6/7/06, effective 7/12/06]</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9002B</w:t>
      </w:r>
      <w:r>
        <w:rPr>
          <w:rFonts w:ascii="Times New Roman" w:hAnsi="Times New Roman"/>
          <w:b w:val="false"/>
          <w:i w:val="false"/>
          <w:color w:val="000000"/>
          <w:sz w:val="21"/>
        </w:rPr>
        <w:t xml:space="preserve"> (Notice ARC 8835B,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0558C</w:t>
      </w:r>
      <w:r>
        <w:rPr>
          <w:rFonts w:ascii="Times New Roman" w:hAnsi="Times New Roman"/>
          <w:b w:val="false"/>
          <w:i w:val="false"/>
          <w:color w:val="000000"/>
          <w:sz w:val="21"/>
        </w:rPr>
        <w:t xml:space="preserve"> (Notice ARC 0459C, IAB 11/14/12)</w:t>
      </w:r>
      <w:r>
        <w:rPr>
          <w:rFonts w:ascii="Times New Roman" w:hAnsi="Times New Roman"/>
          <w:b w:val="false"/>
          <w:i w:val="false"/>
          <w:color w:val="000000"/>
          <w:sz w:val="21"/>
        </w:rPr>
        <w:t>, IAB 1/9/13, effective 2/13/13]</w:t>
      </w:r>
    </w:p>
    <w:p>
      <w:pPr>
        <w:spacing w:before="0" w:after="0"/>
        <w:ind w:left="120"/>
        <w:jc w:val="center"/>
      </w:pPr>
      <w:r>
        <w:rPr>
          <w:rFonts w:ascii="Times New Roman" w:hAnsi="Times New Roman"/>
          <w:b w:val="false"/>
          <w:i w:val="false"/>
          <w:color w:val="000000"/>
          <w:sz w:val="21"/>
        </w:rPr>
        <w:t>[Filed ARC 1360C</w:t>
      </w:r>
      <w:r>
        <w:rPr>
          <w:rFonts w:ascii="Times New Roman" w:hAnsi="Times New Roman"/>
          <w:b w:val="false"/>
          <w:i w:val="false"/>
          <w:color w:val="000000"/>
          <w:sz w:val="21"/>
        </w:rPr>
        <w:t xml:space="preserve"> (Notice ARC 1284C,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7686C</w:t>
      </w:r>
      <w:r>
        <w:rPr>
          <w:rFonts w:ascii="Times New Roman" w:hAnsi="Times New Roman"/>
          <w:b w:val="false"/>
          <w:i w:val="false"/>
          <w:color w:val="000000"/>
          <w:sz w:val="21"/>
        </w:rPr>
        <w:t xml:space="preserve"> (Notice ARC 7393C,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A.10.5.pdf" Type="http://schemas.openxmlformats.org/officeDocument/2006/relationships/hyperlink" Id="rId5"/>
    <Relationship TargetMode="External" Target="https://www.legis.iowa.gov/docs/iac/rule/193A.10.5.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ac/chapter/193.5.pdf" Type="http://schemas.openxmlformats.org/officeDocument/2006/relationships/hyperlink" Id="rId8"/>
    <Relationship TargetMode="External" Target="https://www.legis.iowa.gov/docs/iac/rule/193A.5.6.pdf" Type="http://schemas.openxmlformats.org/officeDocument/2006/relationships/hyperlink" Id="rId9"/>
    <Relationship TargetMode="External" Target="https://www.legis.iowa.gov/docs/iac/rule/193A.5.9.pdf" Type="http://schemas.openxmlformats.org/officeDocument/2006/relationships/hyperlink" Id="rId10"/>
    <Relationship TargetMode="External" Target="https://www.legis.iowa.gov/docs/iac/rule/193A.10.7.pdf" Type="http://schemas.openxmlformats.org/officeDocument/2006/relationships/hyperlink" Id="rId11"/>
    <Relationship TargetMode="External" Target="https://www.legis.iowa.gov/docs/iac/rule/193A.10.5.pdf" Type="http://schemas.openxmlformats.org/officeDocument/2006/relationships/hyperlink" Id="rId12"/>
    <Relationship TargetMode="External" Target="https://www.legis.iowa.gov/docs/iac/rule/193A.10.5.pdf" Type="http://schemas.openxmlformats.org/officeDocument/2006/relationships/hyperlink" Id="rId13"/>
    <Relationship TargetMode="External" Target="https://www.legis.iowa.gov/docs/iac/rule/193A.10.6.pdf" Type="http://schemas.openxmlformats.org/officeDocument/2006/relationships/hyperlink" Id="rId14"/>
    <Relationship TargetMode="External" Target="https://www.legis.iowa.gov/docs/iac/rule/193A.10.6.pdf" Type="http://schemas.openxmlformats.org/officeDocument/2006/relationships/hyperlink" Id="rId15"/>
    <Relationship TargetMode="External" Target="https://www.legis.iowa.gov/docs/iac/rule/193A.10.6.pdf" Type="http://schemas.openxmlformats.org/officeDocument/2006/relationships/hyperlink" Id="rId16"/>
    <Relationship TargetMode="External" Target="https://www.legis.iowa.gov/docs/iac/rule/193A.10.8.pdf" Type="http://schemas.openxmlformats.org/officeDocument/2006/relationships/hyperlink" Id="rId17"/>
    <Relationship TargetMode="External" Target="https://www.legis.iowa.gov/docs/iac/rule/193A.10.2.pdf" Type="http://schemas.openxmlformats.org/officeDocument/2006/relationships/hyperlink" Id="rId18"/>
    <Relationship TargetMode="External" Target="https://www.legis.iowa.gov/docs/iac/rule/193A.14.3.pdf" Type="http://schemas.openxmlformats.org/officeDocument/2006/relationships/hyperlink" Id="rId19"/>
    <Relationship TargetMode="External" Target="https://www.legis.iowa.gov/docs/ico/chapter/542.10.pdf" Type="http://schemas.openxmlformats.org/officeDocument/2006/relationships/hyperlink" Id="rId20"/>
    <Relationship TargetMode="External" Target="https://www.legis.iowa.gov/docs/iac/rule/193A.10.8.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542.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