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w:t>
      </w:r>
    </w:p>
    <w:p>
      <w:pPr>
        <w:spacing w:before="0" w:after="0"/>
        <w:ind w:left="120"/>
        <w:jc w:val="center"/>
      </w:pPr>
      <w:r>
        <w:rPr>
          <w:rFonts w:ascii="Times New Roman" w:hAnsi="Times New Roman"/>
          <w:b w:val="false"/>
          <w:i w:val="false"/>
          <w:color w:val="000000"/>
          <w:sz w:val="21"/>
        </w:rPr>
        <w:t>WAIVER OF RULES AND DECLARATORY ORDERS</w:t>
      </w:r>
    </w:p>
    <w:p>
      <w:pPr>
        <w:pBdr>
          <w:top w:space="10"/>
        </w:pBdr>
        <w:spacing w:before="0" w:after="0"/>
        <w:ind w:left="120"/>
        <w:jc w:val="center"/>
      </w:pPr>
      <w:r>
        <w:rPr>
          <w:rFonts w:ascii="Times New Roman" w:hAnsi="Times New Roman"/>
          <w:b w:val="false"/>
          <w:i w:val="false"/>
          <w:color w:val="000000"/>
          <w:sz w:val="22"/>
        </w:rPr>
        <w:t xml:space="preserve">Chapter exempt from chapter rescission pursuant to Iowa Code section </w:t>
      </w:r>
      <w:hyperlink r:id="rId4">
        <w:r>
          <w:rPr>
            <w:rStyle w:val="Hyperlink"/>
            <w:rFonts w:ascii="Times New Roman" w:hAnsi="Times New Roman"/>
            <w:b w:val="false"/>
            <w:i w:val="false"/>
            <w:color w:val="000000"/>
            <w:sz w:val="22"/>
          </w:rPr>
          <w:t>17A.7</w:t>
        </w:r>
      </w:hyperlink>
    </w:p>
    <w:p>
      <w:pPr>
        <w:spacing w:before="0" w:after="0"/>
        <w:ind w:left="120"/>
        <w:jc w:val="both"/>
      </w:pPr>
      <w:r>
        <w:rPr>
          <w:rFonts w:ascii="Times New Roman" w:hAnsi="Times New Roman"/>
          <w:b/>
          <w:i w:val="false"/>
          <w:color w:val="000000"/>
          <w:sz w:val="22"/>
        </w:rPr>
        <w:t>191—4.1</w:t>
      </w:r>
      <w:r>
        <w:rPr>
          <w:rFonts w:ascii="Times New Roman" w:hAnsi="Times New Roman"/>
          <w:b/>
          <w:i w:val="false"/>
          <w:color w:val="000000"/>
          <w:sz w:val="22"/>
        </w:rPr>
        <w:t xml:space="preserve">(17A) </w:t>
      </w:r>
      <w:r>
        <w:rPr>
          <w:rFonts w:ascii="Times New Roman" w:hAnsi="Times New Roman"/>
          <w:b/>
          <w:i w:val="false"/>
          <w:color w:val="000000"/>
          <w:sz w:val="22"/>
        </w:rPr>
        <w:t xml:space="preserve">Applicability. </w:t>
      </w:r>
      <w:r>
        <w:rPr>
          <w:rFonts w:ascii="Times New Roman" w:hAnsi="Times New Roman"/>
          <w:b w:val="false"/>
          <w:i w:val="false"/>
          <w:color w:val="000000"/>
          <w:sz w:val="22"/>
        </w:rPr>
        <w:t xml:space="preserve">Except to the extent otherwise expressly provided by statute, all rules proposed or adopted by the division are subject to the provisions of Iowa Code chapter </w:t>
      </w:r>
      <w:hyperlink r:id="rId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the provisions of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7732C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191—4.2</w:t>
      </w:r>
      <w:r>
        <w:rPr>
          <w:rFonts w:ascii="Times New Roman" w:hAnsi="Times New Roman"/>
          <w:b/>
          <w:i w:val="false"/>
          <w:color w:val="000000"/>
          <w:sz w:val="22"/>
        </w:rPr>
        <w:t xml:space="preserve">(17A)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in Iowa Code section </w:t>
      </w:r>
      <w:hyperlink r:id="rId6">
        <w:r>
          <w:rPr>
            <w:rStyle w:val="Hyperlink"/>
            <w:rFonts w:ascii="Times New Roman" w:hAnsi="Times New Roman"/>
            <w:b w:val="false"/>
            <w:i w:val="false"/>
            <w:color w:val="000000"/>
            <w:sz w:val="22"/>
          </w:rPr>
          <w:t>17A.2</w:t>
        </w:r>
      </w:hyperlink>
      <w:r>
        <w:rPr>
          <w:rFonts w:ascii="Times New Roman" w:hAnsi="Times New Roman"/>
          <w:b w:val="false"/>
          <w:i w:val="false"/>
          <w:color w:val="000000"/>
          <w:sz w:val="22"/>
        </w:rPr>
        <w:t xml:space="preserve"> are incorporated into this chapter by this reference. In addition to those definitions and the definitions in rule </w:t>
      </w:r>
      <w:hyperlink r:id="rId7">
        <w:r>
          <w:rPr>
            <w:rStyle w:val="Hyperlink"/>
            <w:rFonts w:ascii="Times New Roman" w:hAnsi="Times New Roman"/>
            <w:b w:val="false"/>
            <w:i w:val="false"/>
            <w:color w:val="000000"/>
            <w:sz w:val="22"/>
          </w:rPr>
          <w:t>191—1.1</w:t>
        </w:r>
      </w:hyperlink>
      <w:r>
        <w:rPr>
          <w:rFonts w:ascii="Times New Roman" w:hAnsi="Times New Roman"/>
          <w:b w:val="false"/>
          <w:i w:val="false"/>
          <w:color w:val="000000"/>
          <w:sz w:val="22"/>
        </w:rPr>
        <w:t>(502,505),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“Commissioner” </w:t>
      </w:r>
      <w:r>
        <w:rPr>
          <w:rFonts w:ascii="Times New Roman" w:hAnsi="Times New Roman"/>
          <w:b w:val="false"/>
          <w:i w:val="false"/>
          <w:color w:val="000000"/>
          <w:sz w:val="22"/>
        </w:rPr>
        <w:t xml:space="preserve">means the commissioner of insurance or the commissioner’s designee. For the purposes of this chapter, “commissioner” includes both the commissioner of insurance and the administrator as defined in Iowa Code chapter </w:t>
      </w:r>
      <w:hyperlink r:id="rId8">
        <w:r>
          <w:rPr>
            <w:rStyle w:val="Hyperlink"/>
            <w:rFonts w:ascii="Times New Roman" w:hAnsi="Times New Roman"/>
            <w:b w:val="false"/>
            <w:i w:val="false"/>
            <w:color w:val="000000"/>
            <w:sz w:val="22"/>
          </w:rPr>
          <w:t>502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“Waiver” </w:t>
      </w:r>
      <w:r>
        <w:rPr>
          <w:rFonts w:ascii="Times New Roman" w:hAnsi="Times New Roman"/>
          <w:b w:val="false"/>
          <w:i w:val="false"/>
          <w:color w:val="000000"/>
          <w:sz w:val="22"/>
        </w:rPr>
        <w:t xml:space="preserve">means action by the division that suspends in whole or in part the requirements or provisions of a rule as applied to an identified person on the basis of the particular circumstances of that person.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7732C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191—4.3</w:t>
      </w:r>
      <w:r>
        <w:rPr>
          <w:rFonts w:ascii="Times New Roman" w:hAnsi="Times New Roman"/>
          <w:b/>
          <w:i w:val="false"/>
          <w:color w:val="000000"/>
          <w:sz w:val="22"/>
        </w:rPr>
        <w:t xml:space="preserve">(17A) </w:t>
      </w:r>
      <w:r>
        <w:rPr>
          <w:rFonts w:ascii="Times New Roman" w:hAnsi="Times New Roman"/>
          <w:b/>
          <w:i w:val="false"/>
          <w:color w:val="000000"/>
          <w:sz w:val="22"/>
        </w:rPr>
        <w:t xml:space="preserve">Severability. </w:t>
      </w:r>
      <w:r>
        <w:rPr>
          <w:rFonts w:ascii="Times New Roman" w:hAnsi="Times New Roman"/>
          <w:b w:val="false"/>
          <w:i w:val="false"/>
          <w:color w:val="000000"/>
          <w:sz w:val="22"/>
        </w:rPr>
        <w:t>If any provision of any rule adopted by the division, or if the application of any such rule to any person or circumstance, is for any reason held to be invalid, illegal or unenforceable by any court of law, the validity, legality and enforceability of the remainder of the rule and its application to other persons or circumstances shall not be affected or impaired thereby.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7732C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191—4.4</w:t>
      </w:r>
      <w:r>
        <w:rPr>
          <w:rFonts w:ascii="Times New Roman" w:hAnsi="Times New Roman"/>
          <w:b/>
          <w:i w:val="false"/>
          <w:color w:val="000000"/>
          <w:sz w:val="22"/>
        </w:rPr>
        <w:t xml:space="preserve">(17A) </w:t>
      </w:r>
      <w:r>
        <w:rPr>
          <w:rFonts w:ascii="Times New Roman" w:hAnsi="Times New Roman"/>
          <w:b/>
          <w:i w:val="false"/>
          <w:color w:val="000000"/>
          <w:sz w:val="22"/>
        </w:rPr>
        <w:t xml:space="preserve">Public rulemaking docket. </w:t>
      </w:r>
      <w:r>
        <w:rPr>
          <w:rFonts w:ascii="Times New Roman" w:hAnsi="Times New Roman"/>
          <w:b w:val="false"/>
          <w:i w:val="false"/>
          <w:color w:val="000000"/>
          <w:sz w:val="22"/>
        </w:rPr>
        <w:t xml:space="preserve">The division shall maintain on the division’s website a current public rulemaking docket listing each pending rulemaking proceeding and relevant rulemaking information, including the information required by Iowa Code sections </w:t>
      </w:r>
      <w:hyperlink r:id="rId9">
        <w:r>
          <w:rPr>
            <w:rStyle w:val="Hyperlink"/>
            <w:rFonts w:ascii="Times New Roman" w:hAnsi="Times New Roman"/>
            <w:b w:val="false"/>
            <w:i w:val="false"/>
            <w:color w:val="000000"/>
            <w:sz w:val="22"/>
          </w:rPr>
          <w:t>17A.3(1)</w:t>
        </w:r>
      </w:hyperlink>
      <w:r>
        <w:rPr>
          <w:rFonts w:ascii="Times New Roman" w:hAnsi="Times New Roman"/>
          <w:b w:val="false"/>
          <w:i/>
          <w:color w:val="000000"/>
          <w:sz w:val="22"/>
        </w:rPr>
        <w:t>“d”</w:t>
      </w:r>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17A.6A(2)</w:t>
        </w:r>
      </w:hyperlink>
      <w:r>
        <w:rPr>
          <w:rFonts w:ascii="Times New Roman" w:hAnsi="Times New Roman"/>
          <w:b w:val="false"/>
          <w:i w:val="false"/>
          <w:color w:val="000000"/>
          <w:sz w:val="22"/>
        </w:rPr>
        <w:t>. If a rulemaking docket for all agencies is maintained on the Iowa legislature’s website, the division may utilize the legislature’s docket, in whole or in part, instead of creating a duplicative separate docket.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7732C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DIVISION I</w:t>
      </w:r>
    </w:p>
    <w:p>
      <w:pPr>
        <w:pBdr>
          <w:bottom w:space="10"/>
        </w:pBdr>
        <w:spacing w:before="0" w:after="0"/>
        <w:ind w:left="120"/>
        <w:jc w:val="center"/>
      </w:pPr>
      <w:r>
        <w:rPr>
          <w:rFonts w:ascii="Times New Roman" w:hAnsi="Times New Roman"/>
          <w:b w:val="false"/>
          <w:i w:val="false"/>
          <w:color w:val="000000"/>
          <w:sz w:val="16"/>
        </w:rPr>
        <w:t>WAIVER OF RULES</w:t>
      </w:r>
    </w:p>
    <w:p>
      <w:pPr>
        <w:spacing w:before="0" w:after="0"/>
        <w:ind w:left="120"/>
        <w:jc w:val="both"/>
      </w:pPr>
      <w:r>
        <w:rPr>
          <w:rFonts w:ascii="Times New Roman" w:hAnsi="Times New Roman"/>
          <w:b/>
          <w:i w:val="false"/>
          <w:color w:val="000000"/>
          <w:sz w:val="22"/>
        </w:rPr>
        <w:t>191—4.5</w:t>
      </w:r>
      <w:r>
        <w:rPr>
          <w:rFonts w:ascii="Times New Roman" w:hAnsi="Times New Roman"/>
          <w:b/>
          <w:i w:val="false"/>
          <w:color w:val="000000"/>
          <w:sz w:val="22"/>
        </w:rPr>
        <w:t xml:space="preserve">(17A) </w:t>
      </w:r>
      <w:r>
        <w:rPr>
          <w:rFonts w:ascii="Times New Roman" w:hAnsi="Times New Roman"/>
          <w:b/>
          <w:i w:val="false"/>
          <w:color w:val="000000"/>
          <w:sz w:val="22"/>
        </w:rPr>
        <w:t xml:space="preserve">Waivers.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w:t>
      </w:r>
      <w:r>
        <w:rPr>
          <w:rFonts w:ascii="Times New Roman" w:hAnsi="Times New Roman"/>
          <w:b w:val="false"/>
          <w:i w:val="false"/>
          <w:color w:val="000000"/>
          <w:sz w:val="22"/>
        </w:rPr>
        <w:t> </w:t>
      </w:r>
      <w:r>
        <w:rPr>
          <w:rFonts w:ascii="Times New Roman" w:hAnsi="Times New Roman"/>
          <w:b w:val="false"/>
          <w:i/>
          <w:color w:val="000000"/>
          <w:sz w:val="22"/>
        </w:rPr>
        <w:t xml:space="preserve">Scope. </w:t>
      </w:r>
      <w:r>
        <w:rPr>
          <w:rFonts w:ascii="Times New Roman" w:hAnsi="Times New Roman"/>
          <w:b w:val="false"/>
          <w:i w:val="false"/>
          <w:color w:val="000000"/>
          <w:sz w:val="22"/>
        </w:rPr>
        <w:t>This chapter outlines generally applicable standards and a uniform process for the granting of individual waivers from rules adopted by the division in situations when no other more specifically applicable law provides for waivers. This chapter shall not preclude the division from granting waivers in other contexts or on the basis of other standards if a statute or agency rule authorizes the division to do so and the division deems it appropriate to do so.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4.5(2)</w:t>
      </w:r>
      <w:r>
        <w:rPr>
          <w:rFonts w:ascii="Times New Roman" w:hAnsi="Times New Roman"/>
          <w:b w:val="false"/>
          <w:i w:val="false"/>
          <w:color w:val="000000"/>
          <w:sz w:val="22"/>
        </w:rPr>
        <w:t> </w:t>
      </w:r>
      <w:r>
        <w:rPr>
          <w:rFonts w:ascii="Times New Roman" w:hAnsi="Times New Roman"/>
          <w:b w:val="false"/>
          <w:i/>
          <w:color w:val="000000"/>
          <w:sz w:val="22"/>
        </w:rPr>
        <w:t xml:space="preserve">Authority to grant waivers. </w:t>
      </w:r>
      <w:r>
        <w:rPr>
          <w:rFonts w:ascii="Times New Roman" w:hAnsi="Times New Roman"/>
          <w:b w:val="false"/>
          <w:i w:val="false"/>
          <w:color w:val="000000"/>
          <w:sz w:val="22"/>
        </w:rPr>
        <w:t>The division may grant a waiver from a rule only if the division has jurisdiction over the rule and the requested waiver is consistent with applicable statutes, constitutional provisions, or other provisions of law. The division may not waive the following categories of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Rules setting requirements that are created or duties that are imposed by statute.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Rules that provide definitions or interpretations, set fees, clarify enforcement authority, deal with fraud or are the subject of prosecutorial discretion.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Rules that merely define the meaning of a statute or other provision of law or precedent if the commissioner does not possess delegated authority to bind the courts to any extent with the commissioner’s definition.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4.5(3)</w:t>
      </w:r>
      <w:r>
        <w:rPr>
          <w:rFonts w:ascii="Times New Roman" w:hAnsi="Times New Roman"/>
          <w:b w:val="false"/>
          <w:i w:val="false"/>
          <w:color w:val="000000"/>
          <w:sz w:val="22"/>
        </w:rPr>
        <w:t> </w:t>
      </w:r>
      <w:r>
        <w:rPr>
          <w:rFonts w:ascii="Times New Roman" w:hAnsi="Times New Roman"/>
          <w:b w:val="false"/>
          <w:i/>
          <w:color w:val="000000"/>
          <w:sz w:val="22"/>
        </w:rPr>
        <w:t xml:space="preserve">Criteria for order for waiver. </w:t>
      </w:r>
      <w:r>
        <w:rPr>
          <w:rFonts w:ascii="Times New Roman" w:hAnsi="Times New Roman"/>
          <w:b w:val="false"/>
          <w:i w:val="false"/>
          <w:color w:val="000000"/>
          <w:sz w:val="22"/>
        </w:rPr>
        <w:t>The division may in its sole discretion issue an order waiving in whole or in part the requirements of a rule if the division finds, based on clear and convincing evidence,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Application of the rule would impose an undue hardship on the person for whom the waiver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Waiver from the requirements of the rule in the specific case would not prejudice the substantial legal rights of any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Provisions of the rule subject to the petition for a waiver are not specifically mandated by statute or another provision of law;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Substantially equal protection of public health, safety, and welfare will be afforded by a means other than that prescribed in the particular rule for which the waiver is requested.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7732C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191—4.6</w:t>
      </w:r>
      <w:r>
        <w:rPr>
          <w:rFonts w:ascii="Times New Roman" w:hAnsi="Times New Roman"/>
          <w:b/>
          <w:i w:val="false"/>
          <w:color w:val="000000"/>
          <w:sz w:val="22"/>
        </w:rPr>
        <w:t xml:space="preserve">(17A) </w:t>
      </w:r>
      <w:r>
        <w:rPr>
          <w:rFonts w:ascii="Times New Roman" w:hAnsi="Times New Roman"/>
          <w:b/>
          <w:i w:val="false"/>
          <w:color w:val="000000"/>
          <w:sz w:val="22"/>
        </w:rPr>
        <w:t xml:space="preserve">Petition for waiver. </w:t>
      </w:r>
      <w:r>
        <w:rPr>
          <w:rFonts w:ascii="Times New Roman" w:hAnsi="Times New Roman"/>
          <w:b w:val="false"/>
          <w:i w:val="false"/>
          <w:color w:val="000000"/>
          <w:sz w:val="22"/>
        </w:rPr>
        <w:t>A petition for a waiver must be submitted in writing to the division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w:t>
      </w:r>
      <w:r>
        <w:rPr>
          <w:rFonts w:ascii="Times New Roman" w:hAnsi="Times New Roman"/>
          <w:b w:val="false"/>
          <w:i w:val="false"/>
          <w:color w:val="000000"/>
          <w:sz w:val="22"/>
        </w:rPr>
        <w:t> </w:t>
      </w:r>
      <w:r>
        <w:rPr>
          <w:rFonts w:ascii="Times New Roman" w:hAnsi="Times New Roman"/>
          <w:b w:val="false"/>
          <w:i w:val="false"/>
          <w:color w:val="000000"/>
          <w:sz w:val="22"/>
        </w:rPr>
        <w:t>Applications. If the petition relates to an application or license, the petition must be made in accordance with the filing requirements for the application or license in question.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4.6(2)</w:t>
      </w:r>
      <w:r>
        <w:rPr>
          <w:rFonts w:ascii="Times New Roman" w:hAnsi="Times New Roman"/>
          <w:b w:val="false"/>
          <w:i w:val="false"/>
          <w:color w:val="000000"/>
          <w:sz w:val="22"/>
        </w:rPr>
        <w:t> </w:t>
      </w:r>
      <w:r>
        <w:rPr>
          <w:rFonts w:ascii="Times New Roman" w:hAnsi="Times New Roman"/>
          <w:b w:val="false"/>
          <w:i w:val="false"/>
          <w:color w:val="000000"/>
          <w:sz w:val="22"/>
        </w:rPr>
        <w:t>Contested cases. If the petition relates to a pending contested case, the petition must be filed in the contested case proceeding, using the caption of the contested case. The waiver petition shall be decided within the context of the contested case unless the presiding officer, other than the commissioner, determines that the petition should be referred directly to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4.6(3)</w:t>
      </w:r>
      <w:r>
        <w:rPr>
          <w:rFonts w:ascii="Times New Roman" w:hAnsi="Times New Roman"/>
          <w:b w:val="false"/>
          <w:i w:val="false"/>
          <w:color w:val="000000"/>
          <w:sz w:val="22"/>
        </w:rPr>
        <w:t> </w:t>
      </w:r>
      <w:r>
        <w:rPr>
          <w:rFonts w:ascii="Times New Roman" w:hAnsi="Times New Roman"/>
          <w:b w:val="false"/>
          <w:i w:val="false"/>
          <w:color w:val="000000"/>
          <w:sz w:val="22"/>
        </w:rPr>
        <w:t xml:space="preserve">Other. If the petition does not relate to an application or a pending contested case, the petition must be submitted to the division at the address in rule </w:t>
      </w:r>
      <w:hyperlink r:id="rId11">
        <w:r>
          <w:rPr>
            <w:rStyle w:val="Hyperlink"/>
            <w:rFonts w:ascii="Times New Roman" w:hAnsi="Times New Roman"/>
            <w:b w:val="false"/>
            <w:i w:val="false"/>
            <w:color w:val="000000"/>
            <w:sz w:val="22"/>
          </w:rPr>
          <w:t>191—1.4</w:t>
        </w:r>
      </w:hyperlink>
      <w:r>
        <w:rPr>
          <w:rFonts w:ascii="Times New Roman" w:hAnsi="Times New Roman"/>
          <w:b w:val="false"/>
          <w:i w:val="false"/>
          <w:color w:val="000000"/>
          <w:sz w:val="22"/>
        </w:rPr>
        <w:t>(502,505) or as instructed on the division’s website.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4.6(4)</w:t>
      </w:r>
      <w:r>
        <w:rPr>
          <w:rFonts w:ascii="Times New Roman" w:hAnsi="Times New Roman"/>
          <w:b w:val="false"/>
          <w:i w:val="false"/>
          <w:color w:val="000000"/>
          <w:sz w:val="22"/>
        </w:rPr>
        <w:t> </w:t>
      </w:r>
      <w:r>
        <w:rPr>
          <w:rFonts w:ascii="Times New Roman" w:hAnsi="Times New Roman"/>
          <w:b w:val="false"/>
          <w:i w:val="false"/>
          <w:color w:val="000000"/>
          <w:sz w:val="22"/>
        </w:rPr>
        <w:t>Content of petition. A petition for waiver must be typewritten or legibly handwritten in ink and must substantially conform to the following form:</w:t>
      </w:r>
    </w:p>
    <w:tbl>
      <w:tblPr>
        <w:tblW w:w="5000" w:type="pct"/>
        <w:tblCellSpacing w:w="0" w:type="auto"/>
        <w:tblBorders>
          <w:top w:val="none"/>
          <w:left w:val="none"/>
          <w:bottom w:val="single" w:color="000000" w:sz="8"/>
          <w:right w:val="none"/>
          <w:insideH w:val="none"/>
          <w:insideV w:val="none"/>
        </w:tblBorders>
        <w:tblLayout w:type="fixed"/>
      </w:tblPr>
      <w:tblGrid>
        <w:gridCol w:w="4850"/>
        <w:gridCol w:w="1490"/>
        <w:gridCol w:w="4850"/>
      </w:tblGrid>
      <w:tr>
        <w:trPr>
          <w:trHeight w:val="225" w:hRule="atLeast"/>
        </w:trPr>
        <w:tc>
          <w:tcPr>
            <w:tcW w:w="0" w:type="auto"/>
            <w:gridSpan w:val="3"/>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BEFORE THE IOWA INSURANCE COMMISSIONER</w:t>
            </w:r>
          </w:p>
        </w:tc>
      </w:tr>
      <w:tr>
        <w:trPr>
          <w:trHeight w:val="2190" w:hRule="atLeast"/>
        </w:trPr>
        <w:tc>
          <w:tcPr>
            <w:tcW w:w="4850" w:type="dxa"/>
            <w:tcBorders/>
            <w:tcMar>
              <w:top w:w="30" w:type="dxa"/>
              <w:left w:w="30" w:type="dxa"/>
              <w:bottom w:w="15" w:type="dxa"/>
              <w:right w:w="30" w:type="dxa"/>
            </w:tcMar>
            <w:vAlign w:val="center"/>
          </w:tcPr>
          <w:p>
            <w:pPr>
              <w:spacing w:before="0" w:after="0"/>
              <w:ind w:left="160"/>
              <w:jc w:val="left"/>
            </w:pPr>
            <w:r>
              <w:rPr>
                <w:rFonts w:ascii="Times New Roman" w:hAnsi="Times New Roman"/>
                <w:b w:val="false"/>
                <w:i w:val="false"/>
                <w:color w:val="000000"/>
                <w:sz w:val="16"/>
              </w:rPr>
              <w:t>In the matter of: (Name of Person</w:t>
            </w:r>
          </w:p>
          <w:p>
            <w:pPr>
              <w:spacing w:before="0" w:after="0"/>
              <w:ind w:left="160"/>
              <w:jc w:val="left"/>
            </w:pPr>
            <w:r>
              <w:rPr>
                <w:rFonts w:ascii="Times New Roman" w:hAnsi="Times New Roman"/>
                <w:b w:val="false"/>
                <w:i w:val="false"/>
                <w:color w:val="000000"/>
                <w:sz w:val="16"/>
              </w:rPr>
              <w:t>Requesting Waiver)</w:t>
            </w:r>
          </w:p>
        </w:tc>
        <w:tc>
          <w:tcPr>
            <w:tcW w:w="1490" w:type="dxa"/>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96"/>
              </w:rPr>
              <w:t>}</w:t>
            </w:r>
          </w:p>
          <w:p>
            <w:pPr>
              <w:spacing w:before="0" w:after="0"/>
              <w:ind w:left="160"/>
              <w:jc w:val="center"/>
            </w:pPr>
            <w:r>
              <w:rPr>
                <w:rFonts w:ascii="Times New Roman" w:hAnsi="Times New Roman"/>
                <w:b w:val="false"/>
                <w:i w:val="false"/>
                <w:color w:val="000000"/>
                <w:sz w:val="96"/>
              </w:rPr>
              <w:t> </w:t>
            </w:r>
          </w:p>
        </w:tc>
        <w:tc>
          <w:tcPr>
            <w:tcW w:w="4850" w:type="dxa"/>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6"/>
              </w:rPr>
              <w:t xml:space="preserve">REQUEST FOR WAIVER OF RULE </w:t>
            </w:r>
          </w:p>
          <w:p>
            <w:pPr>
              <w:spacing w:before="0" w:after="0"/>
              <w:ind w:left="160"/>
              <w:jc w:val="center"/>
            </w:pPr>
            <w:r>
              <w:rPr>
                <w:rFonts w:ascii="Times New Roman" w:hAnsi="Times New Roman"/>
                <w:b w:val="false"/>
                <w:i w:val="false"/>
                <w:color w:val="000000"/>
                <w:sz w:val="16"/>
              </w:rPr>
              <w:t>(Specify number of rule for which waiver is requested)</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4.6(5)</w:t>
      </w:r>
      <w:r>
        <w:rPr>
          <w:rFonts w:ascii="Times New Roman" w:hAnsi="Times New Roman"/>
          <w:b w:val="false"/>
          <w:i w:val="false"/>
          <w:color w:val="000000"/>
          <w:sz w:val="22"/>
        </w:rPr>
        <w:t> </w:t>
      </w:r>
      <w:r>
        <w:rPr>
          <w:rFonts w:ascii="Times New Roman" w:hAnsi="Times New Roman"/>
          <w:b w:val="false"/>
          <w:i w:val="false"/>
          <w:color w:val="000000"/>
          <w:sz w:val="22"/>
        </w:rPr>
        <w:t>The petition shall provide the following information in separate numbered paragraphs: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name, address and telephone number of the entity or person for whom a waiver is being requested, and the case number of any related contested case.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description and citation of the specific rule from which a waiver is requested.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specific waiver requested, including the precise scope and duration.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The relevant facts that the petitioner believes would justify a waiver under each of the criteria described in subrule </w:t>
      </w:r>
      <w:hyperlink r:id="rId12">
        <w:r>
          <w:rPr>
            <w:rStyle w:val="Hyperlink"/>
            <w:rFonts w:ascii="Times New Roman" w:hAnsi="Times New Roman"/>
            <w:b w:val="false"/>
            <w:i w:val="false"/>
            <w:color w:val="000000"/>
            <w:sz w:val="22"/>
          </w:rPr>
          <w:t>4.5(3)</w:t>
        </w:r>
      </w:hyperlink>
      <w:r>
        <w:rPr>
          <w:rFonts w:ascii="Times New Roman" w:hAnsi="Times New Roman"/>
          <w:b w:val="false"/>
          <w:i w:val="false"/>
          <w:color w:val="000000"/>
          <w:sz w:val="22"/>
        </w:rPr>
        <w:t>. This statement shall include a signed statement from the petitioner attesting to the accuracy of the facts provided in the petition and a statement of reasons that the petitioner believes justify a waiver.</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 history of any prior contacts between the division and the petitioner relating to the regulated activity, application or license affected by the proposed waiver, including a description of each affected license held by the petitioner, any notices of violation, contested case hearings, or investigative reports relating to the regulated activity or license within the prior five years and any waivers or waiver applications filed by the petitioner with the division within the prior five years.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Any information known to the petitioner regarding the division’s treatment of similar cases.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The name, address and telephone number of any public agency or political subdivision that also regulates the activity in question or that might be affected by the granting of a waiver.</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The name, address and telephone number of any entity or person who would be adversely affected by the granting of a waiver.</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The name, address and telephone number of any person with knowledge of the relevant facts relating to the proposed waiver.</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Signed releases of information authorizing persons with knowledge regarding the request to furnish the division with information relevant to the waiver.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4.6(6)</w:t>
      </w:r>
      <w:r>
        <w:rPr>
          <w:rFonts w:ascii="Times New Roman" w:hAnsi="Times New Roman"/>
          <w:b w:val="false"/>
          <w:i w:val="false"/>
          <w:color w:val="000000"/>
          <w:sz w:val="22"/>
        </w:rPr>
        <w:t> </w:t>
      </w:r>
      <w:r>
        <w:rPr>
          <w:rFonts w:ascii="Times New Roman" w:hAnsi="Times New Roman"/>
          <w:b w:val="false"/>
          <w:i w:val="false"/>
          <w:color w:val="000000"/>
          <w:sz w:val="22"/>
        </w:rPr>
        <w:t>Notice. The division must acknowledge a petition upon receipt and ensure that, within 30 days of the receipt of the petition, notice of the pendency of the petition and a concise summary of its contents have been provided to all persons to whom notice is required by any provision of law. In addition, the division may give notice to other persons. To accomplish this notice provision, the division may require the petitioner to serve the notice on all persons to whom notice is required by any provision of law and to provide a written statement to the division attesting that notice has been provided.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7732C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191—4.7</w:t>
      </w:r>
      <w:r>
        <w:rPr>
          <w:rFonts w:ascii="Times New Roman" w:hAnsi="Times New Roman"/>
          <w:b/>
          <w:i w:val="false"/>
          <w:color w:val="000000"/>
          <w:sz w:val="22"/>
        </w:rPr>
        <w:t xml:space="preserve">(17A) </w:t>
      </w:r>
      <w:r>
        <w:rPr>
          <w:rFonts w:ascii="Times New Roman" w:hAnsi="Times New Roman"/>
          <w:b/>
          <w:i w:val="false"/>
          <w:color w:val="000000"/>
          <w:sz w:val="22"/>
        </w:rPr>
        <w:t xml:space="preserve">Waiver hearing procedures and ruling.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4.7(1)</w:t>
      </w:r>
      <w:r>
        <w:rPr>
          <w:rFonts w:ascii="Times New Roman" w:hAnsi="Times New Roman"/>
          <w:b w:val="false"/>
          <w:i w:val="false"/>
          <w:color w:val="000000"/>
          <w:sz w:val="22"/>
        </w:rPr>
        <w:t> </w:t>
      </w:r>
      <w:r>
        <w:rPr>
          <w:rFonts w:ascii="Times New Roman" w:hAnsi="Times New Roman"/>
          <w:b w:val="false"/>
          <w:i/>
          <w:color w:val="000000"/>
          <w:sz w:val="22"/>
        </w:rPr>
        <w:t xml:space="preserve">Procedures. </w:t>
      </w:r>
      <w:r>
        <w:rPr>
          <w:rFonts w:ascii="Times New Roman" w:hAnsi="Times New Roman"/>
          <w:b w:val="false"/>
          <w:i w:val="false"/>
          <w:color w:val="000000"/>
          <w:sz w:val="22"/>
        </w:rPr>
        <w:t xml:space="preserve">The provisions of Iowa Code sections </w:t>
      </w:r>
      <w:hyperlink r:id="rId13">
        <w:r>
          <w:rPr>
            <w:rStyle w:val="Hyperlink"/>
            <w:rFonts w:ascii="Times New Roman" w:hAnsi="Times New Roman"/>
            <w:b w:val="false"/>
            <w:i w:val="false"/>
            <w:color w:val="000000"/>
            <w:sz w:val="22"/>
          </w:rPr>
          <w:t>17A.10 through 17A.18A</w:t>
        </w:r>
      </w:hyperlink>
      <w:r>
        <w:rPr>
          <w:rFonts w:ascii="Times New Roman" w:hAnsi="Times New Roman"/>
          <w:b w:val="false"/>
          <w:i w:val="false"/>
          <w:color w:val="000000"/>
          <w:sz w:val="22"/>
        </w:rPr>
        <w:t xml:space="preserve"> regarding contested case hearings shall apply to any petition for a waiver filed within a contested case and shall otherwise apply to agency proceedings for a waiver only when the division so provides by rule or order or is required to do so by statute.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4.7(2)</w:t>
      </w:r>
      <w:r>
        <w:rPr>
          <w:rFonts w:ascii="Times New Roman" w:hAnsi="Times New Roman"/>
          <w:b w:val="false"/>
          <w:i w:val="false"/>
          <w:color w:val="000000"/>
          <w:sz w:val="22"/>
        </w:rPr>
        <w:t> </w:t>
      </w:r>
      <w:r>
        <w:rPr>
          <w:rFonts w:ascii="Times New Roman" w:hAnsi="Times New Roman"/>
          <w:b w:val="false"/>
          <w:i/>
          <w:color w:val="000000"/>
          <w:sz w:val="22"/>
        </w:rPr>
        <w:t xml:space="preserve">Additional information. </w:t>
      </w:r>
      <w:r>
        <w:rPr>
          <w:rFonts w:ascii="Times New Roman" w:hAnsi="Times New Roman"/>
          <w:b w:val="false"/>
          <w:i w:val="false"/>
          <w:color w:val="000000"/>
          <w:sz w:val="22"/>
        </w:rPr>
        <w:t>Prior to issuing an order granting or denying a waiver, the division may request additional information from the petitioner relative to the petition and surrounding circumstances. If the petition was not filed in a contested case, the division may, on its own motion or at the petitioner’s request, schedule a telephonic or in-person meeting between the petitioner and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4.7(3)</w:t>
      </w:r>
      <w:r>
        <w:rPr>
          <w:rFonts w:ascii="Times New Roman" w:hAnsi="Times New Roman"/>
          <w:b w:val="false"/>
          <w:i w:val="false"/>
          <w:color w:val="000000"/>
          <w:sz w:val="22"/>
        </w:rPr>
        <w:t> </w:t>
      </w:r>
      <w:r>
        <w:rPr>
          <w:rFonts w:ascii="Times New Roman" w:hAnsi="Times New Roman"/>
          <w:b w:val="false"/>
          <w:i/>
          <w:color w:val="000000"/>
          <w:sz w:val="22"/>
        </w:rPr>
        <w:t xml:space="preserve">Division discretion. </w:t>
      </w:r>
      <w:r>
        <w:rPr>
          <w:rFonts w:ascii="Times New Roman" w:hAnsi="Times New Roman"/>
          <w:b w:val="false"/>
          <w:i w:val="false"/>
          <w:color w:val="000000"/>
          <w:sz w:val="22"/>
        </w:rPr>
        <w:t>The final decision on whether the circumstances justify the granting of a waiver shall be made at the sole discretion of the division, upon consideration of all relevant factors. Each petition for a waiver must be evaluated by the division based on the unique, individual circumstances set out in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4.7(4)</w:t>
      </w:r>
      <w:r>
        <w:rPr>
          <w:rFonts w:ascii="Times New Roman" w:hAnsi="Times New Roman"/>
          <w:b w:val="false"/>
          <w:i w:val="false"/>
          <w:color w:val="000000"/>
          <w:sz w:val="22"/>
        </w:rPr>
        <w:t> </w:t>
      </w:r>
      <w:r>
        <w:rPr>
          <w:rFonts w:ascii="Times New Roman" w:hAnsi="Times New Roman"/>
          <w:b w:val="false"/>
          <w:i/>
          <w:color w:val="000000"/>
          <w:sz w:val="22"/>
        </w:rPr>
        <w:t xml:space="preserve">Ruling. </w:t>
      </w:r>
      <w:r>
        <w:rPr>
          <w:rFonts w:ascii="Times New Roman" w:hAnsi="Times New Roman"/>
          <w:b w:val="false"/>
          <w:i w:val="false"/>
          <w:color w:val="000000"/>
          <w:sz w:val="22"/>
        </w:rPr>
        <w:t>An order granting or denying a waiver must be in writing and must contain a reference to the particular person and rule or portion thereof to which the order pertains, a statement of the relevant facts and reasons upon which the action is based, and a description of the precise scope and duration of the waiver if one is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4.7(5)</w:t>
      </w:r>
      <w:r>
        <w:rPr>
          <w:rFonts w:ascii="Times New Roman" w:hAnsi="Times New Roman"/>
          <w:b w:val="false"/>
          <w:i w:val="false"/>
          <w:color w:val="000000"/>
          <w:sz w:val="22"/>
        </w:rPr>
        <w:t> </w:t>
      </w:r>
      <w:r>
        <w:rPr>
          <w:rFonts w:ascii="Times New Roman" w:hAnsi="Times New Roman"/>
          <w:b w:val="false"/>
          <w:i/>
          <w:color w:val="000000"/>
          <w:sz w:val="22"/>
        </w:rPr>
        <w:t xml:space="preserve">Burden of persuasion. </w:t>
      </w:r>
      <w:r>
        <w:rPr>
          <w:rFonts w:ascii="Times New Roman" w:hAnsi="Times New Roman"/>
          <w:b w:val="false"/>
          <w:i w:val="false"/>
          <w:color w:val="000000"/>
          <w:sz w:val="22"/>
        </w:rPr>
        <w:t>The burden of persuasion rests with the petitioner to demonstrate by clear and convincing evidence that the division should exercise its discretion to grant a waiver from a division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4.7(6)</w:t>
      </w:r>
      <w:r>
        <w:rPr>
          <w:rFonts w:ascii="Times New Roman" w:hAnsi="Times New Roman"/>
          <w:b w:val="false"/>
          <w:i w:val="false"/>
          <w:color w:val="000000"/>
          <w:sz w:val="22"/>
        </w:rPr>
        <w:t> </w:t>
      </w:r>
      <w:r>
        <w:rPr>
          <w:rFonts w:ascii="Times New Roman" w:hAnsi="Times New Roman"/>
          <w:b w:val="false"/>
          <w:i/>
          <w:color w:val="000000"/>
          <w:sz w:val="22"/>
        </w:rPr>
        <w:t xml:space="preserve">Narrowly tailored exception. </w:t>
      </w:r>
      <w:r>
        <w:rPr>
          <w:rFonts w:ascii="Times New Roman" w:hAnsi="Times New Roman"/>
          <w:b w:val="false"/>
          <w:i w:val="false"/>
          <w:color w:val="000000"/>
          <w:sz w:val="22"/>
        </w:rPr>
        <w:t>A waiver, if granted, must provide the narrowest exception possible to the provisions of a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4.7(7)</w:t>
      </w:r>
      <w:r>
        <w:rPr>
          <w:rFonts w:ascii="Times New Roman" w:hAnsi="Times New Roman"/>
          <w:b w:val="false"/>
          <w:i w:val="false"/>
          <w:color w:val="000000"/>
          <w:sz w:val="22"/>
        </w:rPr>
        <w:t> </w:t>
      </w:r>
      <w:r>
        <w:rPr>
          <w:rFonts w:ascii="Times New Roman" w:hAnsi="Times New Roman"/>
          <w:b w:val="false"/>
          <w:i/>
          <w:color w:val="000000"/>
          <w:sz w:val="22"/>
        </w:rPr>
        <w:t xml:space="preserve">Administrative deadlines. </w:t>
      </w:r>
      <w:r>
        <w:rPr>
          <w:rFonts w:ascii="Times New Roman" w:hAnsi="Times New Roman"/>
          <w:b w:val="false"/>
          <w:i w:val="false"/>
          <w:color w:val="000000"/>
          <w:sz w:val="22"/>
        </w:rPr>
        <w:t>When the rule from which a waiver is sought establishes administrative deadlines, the division must balance the special individual circumstances of the petitioner with the overall goal of uniform treatment of all similarly situated persons.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4.7(8)</w:t>
      </w:r>
      <w:r>
        <w:rPr>
          <w:rFonts w:ascii="Times New Roman" w:hAnsi="Times New Roman"/>
          <w:b w:val="false"/>
          <w:i w:val="false"/>
          <w:color w:val="000000"/>
          <w:sz w:val="22"/>
        </w:rPr>
        <w:t> </w:t>
      </w:r>
      <w:r>
        <w:rPr>
          <w:rFonts w:ascii="Times New Roman" w:hAnsi="Times New Roman"/>
          <w:b w:val="false"/>
          <w:i/>
          <w:color w:val="000000"/>
          <w:sz w:val="22"/>
        </w:rPr>
        <w:t xml:space="preserve">Conditions. </w:t>
      </w:r>
      <w:r>
        <w:rPr>
          <w:rFonts w:ascii="Times New Roman" w:hAnsi="Times New Roman"/>
          <w:b w:val="false"/>
          <w:i w:val="false"/>
          <w:color w:val="000000"/>
          <w:sz w:val="22"/>
        </w:rPr>
        <w:t>The division may place any condition on a waiver that the division finds desirable to protect the public health, safety, and welfare.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4.7(9)</w:t>
      </w:r>
      <w:r>
        <w:rPr>
          <w:rFonts w:ascii="Times New Roman" w:hAnsi="Times New Roman"/>
          <w:b w:val="false"/>
          <w:i w:val="false"/>
          <w:color w:val="000000"/>
          <w:sz w:val="22"/>
        </w:rPr>
        <w:t> </w:t>
      </w:r>
      <w:r>
        <w:rPr>
          <w:rFonts w:ascii="Times New Roman" w:hAnsi="Times New Roman"/>
          <w:b w:val="false"/>
          <w:i/>
          <w:color w:val="000000"/>
          <w:sz w:val="22"/>
        </w:rPr>
        <w:t xml:space="preserve">Time period of waiver. </w:t>
      </w:r>
      <w:r>
        <w:rPr>
          <w:rFonts w:ascii="Times New Roman" w:hAnsi="Times New Roman"/>
          <w:b w:val="false"/>
          <w:i w:val="false"/>
          <w:color w:val="000000"/>
          <w:sz w:val="22"/>
        </w:rPr>
        <w:t>A waiver must not be permanent unless the petitioner can show that a temporary waiver would be impracticable. If a temporary waiver is granted, there is no automatic right to renewal. At the sole discretion of the division, a waiver may be renewed if the division finds that grounds for a waiver continue to exist.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4.7(10)</w:t>
      </w:r>
      <w:r>
        <w:rPr>
          <w:rFonts w:ascii="Times New Roman" w:hAnsi="Times New Roman"/>
          <w:b w:val="false"/>
          <w:i w:val="false"/>
          <w:color w:val="000000"/>
          <w:sz w:val="22"/>
        </w:rPr>
        <w:t> </w:t>
      </w:r>
      <w:r>
        <w:rPr>
          <w:rFonts w:ascii="Times New Roman" w:hAnsi="Times New Roman"/>
          <w:b w:val="false"/>
          <w:i/>
          <w:color w:val="000000"/>
          <w:sz w:val="22"/>
        </w:rPr>
        <w:t xml:space="preserve">Time for ruling. </w:t>
      </w:r>
      <w:r>
        <w:rPr>
          <w:rFonts w:ascii="Times New Roman" w:hAnsi="Times New Roman"/>
          <w:b w:val="false"/>
          <w:i w:val="false"/>
          <w:color w:val="000000"/>
          <w:sz w:val="22"/>
        </w:rPr>
        <w:t>The division must grant or deny a petition for a waiver as soon as practicable but, in any event, must do so within 120 days of its receipt unless the petitioner agrees to a later date. However, if a petition is filed in a contested case, the division must grant or deny the petition no later than the time at which the final decision in that contested case is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4.7(11)</w:t>
      </w:r>
      <w:r>
        <w:rPr>
          <w:rFonts w:ascii="Times New Roman" w:hAnsi="Times New Roman"/>
          <w:b w:val="false"/>
          <w:i w:val="false"/>
          <w:color w:val="000000"/>
          <w:sz w:val="22"/>
        </w:rPr>
        <w:t> </w:t>
      </w:r>
      <w:r>
        <w:rPr>
          <w:rFonts w:ascii="Times New Roman" w:hAnsi="Times New Roman"/>
          <w:b w:val="false"/>
          <w:i/>
          <w:color w:val="000000"/>
          <w:sz w:val="22"/>
        </w:rPr>
        <w:t xml:space="preserve">When deemed denied. </w:t>
      </w:r>
      <w:r>
        <w:rPr>
          <w:rFonts w:ascii="Times New Roman" w:hAnsi="Times New Roman"/>
          <w:b w:val="false"/>
          <w:i w:val="false"/>
          <w:color w:val="000000"/>
          <w:sz w:val="22"/>
        </w:rPr>
        <w:t>Failure of the division to grant or deny a petition within the required time period shall be deemed a denial of that petition by the division. However, the division shall remain responsible for issuing an order denying a waiver.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4.7(12)</w:t>
      </w:r>
      <w:r>
        <w:rPr>
          <w:rFonts w:ascii="Times New Roman" w:hAnsi="Times New Roman"/>
          <w:b w:val="false"/>
          <w:i w:val="false"/>
          <w:color w:val="000000"/>
          <w:sz w:val="22"/>
        </w:rPr>
        <w:t> </w:t>
      </w:r>
      <w:r>
        <w:rPr>
          <w:rFonts w:ascii="Times New Roman" w:hAnsi="Times New Roman"/>
          <w:b w:val="false"/>
          <w:i/>
          <w:color w:val="000000"/>
          <w:sz w:val="22"/>
        </w:rPr>
        <w:t xml:space="preserve">Service of order. </w:t>
      </w:r>
      <w:r>
        <w:rPr>
          <w:rFonts w:ascii="Times New Roman" w:hAnsi="Times New Roman"/>
          <w:b w:val="false"/>
          <w:i w:val="false"/>
          <w:color w:val="000000"/>
          <w:sz w:val="22"/>
        </w:rPr>
        <w:t>Within seven days of its issuance, any order issued under this chapter must be transmitted to the petitioner or the person to whom the order pertains and to any other person entitled to such notice by any provision of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4.7(13)</w:t>
      </w:r>
      <w:r>
        <w:rPr>
          <w:rFonts w:ascii="Times New Roman" w:hAnsi="Times New Roman"/>
          <w:b w:val="false"/>
          <w:i w:val="false"/>
          <w:color w:val="000000"/>
          <w:sz w:val="22"/>
        </w:rPr>
        <w:t> </w:t>
      </w:r>
      <w:r>
        <w:rPr>
          <w:rFonts w:ascii="Times New Roman" w:hAnsi="Times New Roman"/>
          <w:b w:val="false"/>
          <w:i/>
          <w:color w:val="000000"/>
          <w:sz w:val="22"/>
        </w:rPr>
        <w:t xml:space="preserve">Cancellation of a waiver. </w:t>
      </w:r>
      <w:r>
        <w:rPr>
          <w:rFonts w:ascii="Times New Roman" w:hAnsi="Times New Roman"/>
          <w:b w:val="false"/>
          <w:i w:val="false"/>
          <w:color w:val="000000"/>
          <w:sz w:val="22"/>
        </w:rPr>
        <w:t>A waiver issued by the division pursuant to this chapter may be withdrawn, canceled, modified or revoked if, after appropriate notice and hearing, the division issues an order finding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petitioner or the person who was the subject of the waiver order withheld or misrepresented material facts relevant to the propriety or desirability of the waiver;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alternative means for ensuring that the public health, safety and welfare will be protected after issuance of the waiver order have been demonstrated to be insufficient;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subject of the waiver order has failed to comply with all conditions contained in the order;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waiver is contrary to the public health, safety and welfare in light of newly discovered evidence or changed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4.7(14)</w:t>
      </w:r>
      <w:r>
        <w:rPr>
          <w:rFonts w:ascii="Times New Roman" w:hAnsi="Times New Roman"/>
          <w:b w:val="false"/>
          <w:i w:val="false"/>
          <w:color w:val="000000"/>
          <w:sz w:val="22"/>
        </w:rPr>
        <w:t> </w:t>
      </w:r>
      <w:r>
        <w:rPr>
          <w:rFonts w:ascii="Times New Roman" w:hAnsi="Times New Roman"/>
          <w:b w:val="false"/>
          <w:i/>
          <w:color w:val="000000"/>
          <w:sz w:val="22"/>
        </w:rPr>
        <w:t xml:space="preserve">Violations. </w:t>
      </w:r>
      <w:r>
        <w:rPr>
          <w:rFonts w:ascii="Times New Roman" w:hAnsi="Times New Roman"/>
          <w:b w:val="false"/>
          <w:i w:val="false"/>
          <w:color w:val="000000"/>
          <w:sz w:val="22"/>
        </w:rPr>
        <w:t>Violation of a condition in a waiver order shall be treated as a violation of the particular rule for which the waiver was granted. As a result, the recipient of a waiver under this chapter who violates a condition of the waiver may be subject to the same remedies or penalties as a person who violates the rule at issue.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7732C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 rules in this division are intended to implement Iowa Code section </w:t>
      </w:r>
      <w:hyperlink r:id="rId14">
        <w:r>
          <w:rPr>
            <w:rStyle w:val="Hyperlink"/>
            <w:rFonts w:ascii="Times New Roman" w:hAnsi="Times New Roman"/>
            <w:b w:val="false"/>
            <w:i w:val="false"/>
            <w:color w:val="000000"/>
            <w:sz w:val="22"/>
          </w:rPr>
          <w:t>17A.9A</w:t>
        </w:r>
      </w:hyperlink>
      <w:r>
        <w:rPr>
          <w:rFonts w:ascii="Times New Roman" w:hAnsi="Times New Roman"/>
          <w:b w:val="false"/>
          <w:i w:val="false"/>
          <w:color w:val="000000"/>
          <w:sz w:val="22"/>
        </w:rPr>
        <w:t xml:space="preserve"> and Executive Order Number 11 (September 14, 1999).</w:t>
      </w:r>
    </w:p>
    <w:p>
      <w:pPr>
        <w:pBdr>
          <w:top w:space="10"/>
        </w:pBdr>
        <w:spacing w:before="0" w:after="0"/>
        <w:ind w:left="120"/>
        <w:jc w:val="center"/>
      </w:pPr>
      <w:r>
        <w:rPr>
          <w:rFonts w:ascii="Times New Roman" w:hAnsi="Times New Roman"/>
          <w:b w:val="false"/>
          <w:i w:val="false"/>
          <w:color w:val="000000"/>
          <w:sz w:val="16"/>
        </w:rPr>
        <w:t>DIVISION II</w:t>
      </w:r>
    </w:p>
    <w:p>
      <w:pPr>
        <w:pBdr>
          <w:bottom w:space="10"/>
        </w:pBdr>
        <w:spacing w:before="0" w:after="0"/>
        <w:ind w:left="120"/>
        <w:jc w:val="center"/>
      </w:pPr>
      <w:r>
        <w:rPr>
          <w:rFonts w:ascii="Times New Roman" w:hAnsi="Times New Roman"/>
          <w:b w:val="false"/>
          <w:i w:val="false"/>
          <w:color w:val="000000"/>
          <w:sz w:val="16"/>
        </w:rPr>
        <w:t>DECLARATORY ORDERS</w:t>
      </w:r>
    </w:p>
    <w:p>
      <w:pPr>
        <w:spacing w:before="0" w:after="0"/>
        <w:ind w:left="120"/>
        <w:jc w:val="both"/>
      </w:pPr>
      <w:r>
        <w:rPr>
          <w:rFonts w:ascii="Times New Roman" w:hAnsi="Times New Roman"/>
          <w:b/>
          <w:i w:val="false"/>
          <w:color w:val="000000"/>
          <w:sz w:val="22"/>
        </w:rPr>
        <w:t>191—4.8</w:t>
      </w:r>
      <w:r>
        <w:rPr>
          <w:rFonts w:ascii="Times New Roman" w:hAnsi="Times New Roman"/>
          <w:b/>
          <w:i w:val="false"/>
          <w:color w:val="000000"/>
          <w:sz w:val="22"/>
        </w:rPr>
        <w:t xml:space="preserve">(17A) </w:t>
      </w:r>
      <w:r>
        <w:rPr>
          <w:rFonts w:ascii="Times New Roman" w:hAnsi="Times New Roman"/>
          <w:b/>
          <w:i w:val="false"/>
          <w:color w:val="000000"/>
          <w:sz w:val="22"/>
        </w:rPr>
        <w:t xml:space="preserve">Petition for declaratory order.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4.8(1)</w:t>
      </w:r>
      <w:r>
        <w:rPr>
          <w:rFonts w:ascii="Times New Roman" w:hAnsi="Times New Roman"/>
          <w:b w:val="false"/>
          <w:i w:val="false"/>
          <w:color w:val="000000"/>
          <w:sz w:val="22"/>
        </w:rPr>
        <w:t> </w:t>
      </w:r>
      <w:r>
        <w:rPr>
          <w:rFonts w:ascii="Times New Roman" w:hAnsi="Times New Roman"/>
          <w:b w:val="false"/>
          <w:i w:val="false"/>
          <w:color w:val="000000"/>
          <w:sz w:val="22"/>
        </w:rPr>
        <w:t>Any person or agency may file a petition with the division for a declaratory order as to the applicability to specified circumstances of a statute, rule or order within the primary jurisdiction of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4.8(2)</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petition must be submitted to the division at the address provided in rule </w:t>
      </w:r>
      <w:hyperlink r:id="rId15">
        <w:r>
          <w:rPr>
            <w:rStyle w:val="Hyperlink"/>
            <w:rFonts w:ascii="Times New Roman" w:hAnsi="Times New Roman"/>
            <w:b w:val="false"/>
            <w:i w:val="false"/>
            <w:color w:val="000000"/>
            <w:sz w:val="22"/>
          </w:rPr>
          <w:t>191—1.4</w:t>
        </w:r>
      </w:hyperlink>
      <w:r>
        <w:rPr>
          <w:rFonts w:ascii="Times New Roman" w:hAnsi="Times New Roman"/>
          <w:b w:val="false"/>
          <w:i w:val="false"/>
          <w:color w:val="000000"/>
          <w:sz w:val="22"/>
        </w:rPr>
        <w:t>(502,505) or as instructed on the division’s website.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4.8(3)</w:t>
      </w:r>
      <w:r>
        <w:rPr>
          <w:rFonts w:ascii="Times New Roman" w:hAnsi="Times New Roman"/>
          <w:b w:val="false"/>
          <w:i w:val="false"/>
          <w:color w:val="000000"/>
          <w:sz w:val="22"/>
        </w:rPr>
        <w:t> </w:t>
      </w:r>
      <w:r>
        <w:rPr>
          <w:rFonts w:ascii="Times New Roman" w:hAnsi="Times New Roman"/>
          <w:b w:val="false"/>
          <w:i w:val="false"/>
          <w:color w:val="000000"/>
          <w:sz w:val="22"/>
        </w:rPr>
        <w:t>The petition must be typewritten or legibly handwritten in ink and must substantially conform to the following form:</w:t>
      </w:r>
    </w:p>
    <w:tbl>
      <w:tblPr>
        <w:tblW w:w="5000" w:type="pct"/>
        <w:tblCellSpacing w:w="0" w:type="auto"/>
        <w:tblBorders>
          <w:top w:val="none"/>
          <w:left w:val="none"/>
          <w:bottom w:val="single" w:color="000000" w:sz="8"/>
          <w:right w:val="none"/>
          <w:insideH w:val="none"/>
          <w:insideV w:val="none"/>
        </w:tblBorders>
        <w:tblLayout w:type="fixed"/>
      </w:tblPr>
      <w:tblGrid>
        <w:gridCol w:w="4850"/>
        <w:gridCol w:w="1490"/>
        <w:gridCol w:w="4850"/>
      </w:tblGrid>
      <w:tr>
        <w:trPr>
          <w:trHeight w:val="225" w:hRule="atLeast"/>
        </w:trPr>
        <w:tc>
          <w:tcPr>
            <w:tcW w:w="0" w:type="auto"/>
            <w:gridSpan w:val="3"/>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BEFORE THE IOWA INSURANCE COMMISSIONER</w:t>
            </w:r>
          </w:p>
        </w:tc>
      </w:tr>
      <w:tr>
        <w:trPr>
          <w:trHeight w:val="1245" w:hRule="atLeast"/>
        </w:trPr>
        <w:tc>
          <w:tcPr>
            <w:tcW w:w="4850" w:type="dxa"/>
            <w:tcBorders/>
            <w:tcMar>
              <w:top w:w="30" w:type="dxa"/>
              <w:left w:w="30" w:type="dxa"/>
              <w:bottom w:w="15" w:type="dxa"/>
              <w:right w:w="30" w:type="dxa"/>
            </w:tcMar>
            <w:vAlign w:val="center"/>
          </w:tcPr>
          <w:p>
            <w:pPr>
              <w:spacing w:before="0" w:after="0"/>
              <w:ind w:left="160"/>
              <w:jc w:val="left"/>
            </w:pPr>
            <w:r>
              <w:rPr>
                <w:rFonts w:ascii="Times New Roman" w:hAnsi="Times New Roman"/>
                <w:b w:val="false"/>
                <w:i w:val="false"/>
                <w:color w:val="000000"/>
                <w:sz w:val="16"/>
              </w:rPr>
              <w:t>Petition by (Name of Petitioner)</w:t>
            </w:r>
          </w:p>
          <w:p>
            <w:pPr>
              <w:spacing w:before="0" w:after="0"/>
              <w:ind w:left="160"/>
              <w:jc w:val="left"/>
            </w:pPr>
            <w:r>
              <w:rPr>
                <w:rFonts w:ascii="Times New Roman" w:hAnsi="Times New Roman"/>
                <w:b w:val="false"/>
                <w:i w:val="false"/>
                <w:color w:val="000000"/>
                <w:sz w:val="16"/>
              </w:rPr>
              <w:t>for a Declaratory Order on</w:t>
            </w:r>
          </w:p>
          <w:p>
            <w:pPr>
              <w:spacing w:before="0" w:after="0"/>
              <w:ind w:left="160"/>
              <w:jc w:val="left"/>
            </w:pPr>
            <w:r>
              <w:rPr>
                <w:rFonts w:ascii="Times New Roman" w:hAnsi="Times New Roman"/>
                <w:b w:val="false"/>
                <w:i w:val="false"/>
                <w:color w:val="000000"/>
                <w:sz w:val="16"/>
              </w:rPr>
              <w:t>(Cite provisions of law involved).</w:t>
            </w:r>
          </w:p>
        </w:tc>
        <w:tc>
          <w:tcPr>
            <w:tcW w:w="1490" w:type="dxa"/>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96"/>
              </w:rPr>
              <w:t>}</w:t>
            </w:r>
          </w:p>
          <w:p>
            <w:pPr>
              <w:spacing w:before="0" w:after="0"/>
              <w:ind w:left="160"/>
              <w:jc w:val="center"/>
            </w:pPr>
            <w:r>
              <w:rPr>
                <w:rFonts w:ascii="Times New Roman" w:hAnsi="Times New Roman"/>
                <w:b w:val="false"/>
                <w:i w:val="false"/>
                <w:color w:val="000000"/>
                <w:sz w:val="96"/>
              </w:rPr>
              <w:t> </w:t>
            </w:r>
          </w:p>
        </w:tc>
        <w:tc>
          <w:tcPr>
            <w:tcW w:w="4850" w:type="dxa"/>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6"/>
              </w:rPr>
              <w:t>PETITION FOR</w:t>
            </w:r>
          </w:p>
          <w:p>
            <w:pPr>
              <w:spacing w:before="0" w:after="0"/>
              <w:ind w:left="160"/>
              <w:jc w:val="center"/>
            </w:pPr>
            <w:r>
              <w:rPr>
                <w:rFonts w:ascii="Times New Roman" w:hAnsi="Times New Roman"/>
                <w:b w:val="false"/>
                <w:i w:val="false"/>
                <w:color w:val="000000"/>
                <w:sz w:val="16"/>
              </w:rPr>
              <w:t>DECLARATORY ORDER</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4.8(4)</w:t>
      </w:r>
      <w:r>
        <w:rPr>
          <w:rFonts w:ascii="Times New Roman" w:hAnsi="Times New Roman"/>
          <w:b w:val="false"/>
          <w:i w:val="false"/>
          <w:color w:val="000000"/>
          <w:sz w:val="22"/>
        </w:rPr>
        <w:t> </w:t>
      </w:r>
      <w:r>
        <w:rPr>
          <w:rFonts w:ascii="Times New Roman" w:hAnsi="Times New Roman"/>
          <w:b w:val="false"/>
          <w:i w:val="false"/>
          <w:color w:val="000000"/>
          <w:sz w:val="22"/>
        </w:rPr>
        <w:t>The petition for declaratory order must provide the following information in separate numbered paragraphs: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petitioner’s name, address, and telephone number.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citation to and the exact words, passages, sentences, or paragraphs of the statute, rule, or order</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that is the subject of the petition.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clear and concise statement of all relevant facts upon which the declaratory order is requested.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questions the petitioner wants answered, stated clearly and concisely.</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answers to the questions desired by the petitioner and a summary of the reasons urged by the petitioner in support of those answers.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The reasons for requesting the declaratory order and disclosure of the petitioner’s interest in the outcome.</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A statement indicating whether the petitioner is currently a party to another proceeding involving the questions at issue and whether, to the petitioner’s knowledge, those questions have been decided by, are pending determination by, or are under investigation by any governmental entity.</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 xml:space="preserve">Any request by the petitioner for a meeting provided for by rule </w:t>
      </w:r>
      <w:hyperlink r:id="rId16">
        <w:r>
          <w:rPr>
            <w:rStyle w:val="Hyperlink"/>
            <w:rFonts w:ascii="Times New Roman" w:hAnsi="Times New Roman"/>
            <w:b w:val="false"/>
            <w:i w:val="false"/>
            <w:color w:val="000000"/>
            <w:sz w:val="22"/>
          </w:rPr>
          <w:t>191—4.14</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4.8(5)</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petition for declaratory order must be dated and signed by the petitioner or the petitioner’s representative.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4.8(6)</w:t>
      </w:r>
      <w:r>
        <w:rPr>
          <w:rFonts w:ascii="Times New Roman" w:hAnsi="Times New Roman"/>
          <w:b w:val="false"/>
          <w:i w:val="false"/>
          <w:color w:val="000000"/>
          <w:sz w:val="22"/>
        </w:rPr>
        <w:t> </w:t>
      </w:r>
      <w:r>
        <w:rPr>
          <w:rFonts w:ascii="Times New Roman" w:hAnsi="Times New Roman"/>
          <w:b w:val="false"/>
          <w:i w:val="false"/>
          <w:color w:val="000000"/>
          <w:sz w:val="22"/>
        </w:rPr>
        <w:t>If applicable, the petition must also include the name, mailing address, and telephone number of the petitioner’s representative, and a statement indicating the person to whom communications concerning the petition should be directed.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4.8(7)</w:t>
      </w:r>
      <w:r>
        <w:rPr>
          <w:rFonts w:ascii="Times New Roman" w:hAnsi="Times New Roman"/>
          <w:b w:val="false"/>
          <w:i w:val="false"/>
          <w:color w:val="000000"/>
          <w:sz w:val="22"/>
        </w:rPr>
        <w:t> </w:t>
      </w:r>
      <w:r>
        <w:rPr>
          <w:rFonts w:ascii="Times New Roman" w:hAnsi="Times New Roman"/>
          <w:b w:val="false"/>
          <w:i w:val="false"/>
          <w:color w:val="000000"/>
          <w:sz w:val="22"/>
        </w:rPr>
        <w:t>A petition is deemed filed when it is received by the division. The division must provide the petitioner with a file-stamped copy of the petition if the petitioner provides the division an extra copy for this purpose.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7732C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191—4.9</w:t>
      </w:r>
      <w:r>
        <w:rPr>
          <w:rFonts w:ascii="Times New Roman" w:hAnsi="Times New Roman"/>
          <w:b/>
          <w:i w:val="false"/>
          <w:color w:val="000000"/>
          <w:sz w:val="22"/>
        </w:rPr>
        <w:t xml:space="preserve">(17A) </w:t>
      </w:r>
      <w:r>
        <w:rPr>
          <w:rFonts w:ascii="Times New Roman" w:hAnsi="Times New Roman"/>
          <w:b/>
          <w:i w:val="false"/>
          <w:color w:val="000000"/>
          <w:sz w:val="22"/>
        </w:rPr>
        <w:t xml:space="preserve">Notice of petition. </w:t>
      </w:r>
      <w:r>
        <w:rPr>
          <w:rFonts w:ascii="Times New Roman" w:hAnsi="Times New Roman"/>
          <w:b w:val="false"/>
          <w:i w:val="false"/>
          <w:color w:val="000000"/>
          <w:sz w:val="22"/>
        </w:rPr>
        <w:t xml:space="preserve">Within 15 days after receipt of a petition for a declaratory order, the division must give notice of the petition to all persons not served by the petitioner pursuant to rule </w:t>
      </w:r>
      <w:hyperlink r:id="rId17">
        <w:r>
          <w:rPr>
            <w:rStyle w:val="Hyperlink"/>
            <w:rFonts w:ascii="Times New Roman" w:hAnsi="Times New Roman"/>
            <w:b w:val="false"/>
            <w:i w:val="false"/>
            <w:color w:val="000000"/>
            <w:sz w:val="22"/>
          </w:rPr>
          <w:t>191—4.13</w:t>
        </w:r>
      </w:hyperlink>
      <w:r>
        <w:rPr>
          <w:rFonts w:ascii="Times New Roman" w:hAnsi="Times New Roman"/>
          <w:b w:val="false"/>
          <w:i w:val="false"/>
          <w:color w:val="000000"/>
          <w:sz w:val="22"/>
        </w:rPr>
        <w:t>(17A) to whom notice is required by any provision of law. The division may also give notice to any other persons deemed appropriate.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7732C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191—4.10</w:t>
      </w:r>
      <w:r>
        <w:rPr>
          <w:rFonts w:ascii="Times New Roman" w:hAnsi="Times New Roman"/>
          <w:b/>
          <w:i w:val="false"/>
          <w:color w:val="000000"/>
          <w:sz w:val="22"/>
        </w:rPr>
        <w:t xml:space="preserve">(17A) </w:t>
      </w:r>
      <w:r>
        <w:rPr>
          <w:rFonts w:ascii="Times New Roman" w:hAnsi="Times New Roman"/>
          <w:b/>
          <w:i w:val="false"/>
          <w:color w:val="000000"/>
          <w:sz w:val="22"/>
        </w:rPr>
        <w:t xml:space="preserve">Intervention.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4.10(1)</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Persons who qualify under any applicable provision of law as an intervenor and who file a petition for intervention within 20 days of the filing of a petition for declaratory order (after time for notice under rule </w:t>
      </w:r>
      <w:hyperlink r:id="rId18">
        <w:r>
          <w:rPr>
            <w:rStyle w:val="Hyperlink"/>
            <w:rFonts w:ascii="Times New Roman" w:hAnsi="Times New Roman"/>
            <w:b w:val="false"/>
            <w:i w:val="false"/>
            <w:color w:val="000000"/>
            <w:sz w:val="22"/>
          </w:rPr>
          <w:t>191—4.9</w:t>
        </w:r>
      </w:hyperlink>
      <w:r>
        <w:rPr>
          <w:rFonts w:ascii="Times New Roman" w:hAnsi="Times New Roman"/>
          <w:b w:val="false"/>
          <w:i w:val="false"/>
          <w:color w:val="000000"/>
          <w:sz w:val="22"/>
        </w:rPr>
        <w:t xml:space="preserve">(17A) and before 30-day time for division action under rule </w:t>
      </w:r>
      <w:hyperlink r:id="rId19">
        <w:r>
          <w:rPr>
            <w:rStyle w:val="Hyperlink"/>
            <w:rFonts w:ascii="Times New Roman" w:hAnsi="Times New Roman"/>
            <w:b w:val="false"/>
            <w:i w:val="false"/>
            <w:color w:val="000000"/>
            <w:sz w:val="22"/>
          </w:rPr>
          <w:t>191—4.15</w:t>
        </w:r>
      </w:hyperlink>
      <w:r>
        <w:rPr>
          <w:rFonts w:ascii="Times New Roman" w:hAnsi="Times New Roman"/>
          <w:b w:val="false"/>
          <w:i w:val="false"/>
          <w:color w:val="000000"/>
          <w:sz w:val="22"/>
        </w:rPr>
        <w:t xml:space="preserve">(17A)) shall be allowed to intervene in a proceeding for a declaratory order.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4.10(2)</w:t>
      </w:r>
      <w:r>
        <w:rPr>
          <w:rFonts w:ascii="Times New Roman" w:hAnsi="Times New Roman"/>
          <w:b w:val="false"/>
          <w:i w:val="false"/>
          <w:color w:val="000000"/>
          <w:sz w:val="22"/>
        </w:rPr>
        <w:t> </w:t>
      </w:r>
      <w:r>
        <w:rPr>
          <w:rFonts w:ascii="Times New Roman" w:hAnsi="Times New Roman"/>
          <w:b w:val="false"/>
          <w:i w:val="false"/>
          <w:color w:val="000000"/>
          <w:sz w:val="22"/>
        </w:rPr>
        <w:t xml:space="preserve">Any person who files a petition for intervention at any time prior to the issuance of an order may be allowed to intervene in a proceeding for a declaratory order at the discretion of the division.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4.10(3)</w:t>
      </w:r>
      <w:r>
        <w:rPr>
          <w:rFonts w:ascii="Times New Roman" w:hAnsi="Times New Roman"/>
          <w:b w:val="false"/>
          <w:i w:val="false"/>
          <w:color w:val="000000"/>
          <w:sz w:val="22"/>
        </w:rPr>
        <w:t> </w:t>
      </w:r>
      <w:r>
        <w:rPr>
          <w:rFonts w:ascii="Times New Roman" w:hAnsi="Times New Roman"/>
          <w:b w:val="false"/>
          <w:i w:val="false"/>
          <w:color w:val="000000"/>
          <w:sz w:val="22"/>
        </w:rPr>
        <w:t>A petition must be typewritten or legibly handwritten in ink and shall state in separately numbered paragraphs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Facts supporting the intervenor’s standing and qualifications for intervention.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answers urged by the intervenor to the question or questions presented and a summary of the reasons urged in support of those answers.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Reasons for requesting intervention and disclosure of the intervenor’s interest in the outcome.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statement indicating whether the intervenor is currently a party to any proceeding involving the questions at issue and whether, to the intervenor’s knowledge, those questions have been decided by, are pending determination by, or are under investigation by any governmental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names and addresses of any additional persons, or a description of any additional class of persons, known by the intervenor to be affected by or interested in the questions presented.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Whether the intervenor consents to be bound by the determination of the matters presented in the declaratory order proceeding.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4.10(4)</w:t>
      </w:r>
      <w:r>
        <w:rPr>
          <w:rFonts w:ascii="Times New Roman" w:hAnsi="Times New Roman"/>
          <w:b w:val="false"/>
          <w:i w:val="false"/>
          <w:color w:val="000000"/>
          <w:sz w:val="22"/>
        </w:rPr>
        <w:t> </w:t>
      </w:r>
      <w:r>
        <w:rPr>
          <w:rFonts w:ascii="Times New Roman" w:hAnsi="Times New Roman"/>
          <w:b w:val="false"/>
          <w:i w:val="false"/>
          <w:color w:val="000000"/>
          <w:sz w:val="22"/>
        </w:rPr>
        <w:t>The petition must be dated and signed by the intervenor or the intervenor’s representative and include the name, mailing address, and telephone number of the intervenor and intervenor’s representative, and a statement indicating the person to whom communications should be directed.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7732C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191—4.11</w:t>
      </w:r>
      <w:r>
        <w:rPr>
          <w:rFonts w:ascii="Times New Roman" w:hAnsi="Times New Roman"/>
          <w:b/>
          <w:i w:val="false"/>
          <w:color w:val="000000"/>
          <w:sz w:val="22"/>
        </w:rPr>
        <w:t xml:space="preserve">(17A) </w:t>
      </w:r>
      <w:r>
        <w:rPr>
          <w:rFonts w:ascii="Times New Roman" w:hAnsi="Times New Roman"/>
          <w:b/>
          <w:i w:val="false"/>
          <w:color w:val="000000"/>
          <w:sz w:val="22"/>
        </w:rPr>
        <w:t xml:space="preserve">Briefs. </w:t>
      </w:r>
      <w:r>
        <w:rPr>
          <w:rFonts w:ascii="Times New Roman" w:hAnsi="Times New Roman"/>
          <w:b w:val="false"/>
          <w:i w:val="false"/>
          <w:color w:val="000000"/>
          <w:sz w:val="22"/>
        </w:rPr>
        <w:t>The petitioner or any intervenor may file a brief in support of the position urged. The division may request a brief from the petitioner, any intervenor, or any other person concerning the questions raised.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7732C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191—4.12</w:t>
      </w:r>
      <w:r>
        <w:rPr>
          <w:rFonts w:ascii="Times New Roman" w:hAnsi="Times New Roman"/>
          <w:b/>
          <w:i w:val="false"/>
          <w:color w:val="000000"/>
          <w:sz w:val="22"/>
        </w:rPr>
        <w:t xml:space="preserve">(17A) </w:t>
      </w:r>
      <w:r>
        <w:rPr>
          <w:rFonts w:ascii="Times New Roman" w:hAnsi="Times New Roman"/>
          <w:b/>
          <w:i w:val="false"/>
          <w:color w:val="000000"/>
          <w:sz w:val="22"/>
        </w:rPr>
        <w:t xml:space="preserve">Inquiries. </w:t>
      </w:r>
      <w:r>
        <w:rPr>
          <w:rFonts w:ascii="Times New Roman" w:hAnsi="Times New Roman"/>
          <w:b w:val="false"/>
          <w:i w:val="false"/>
          <w:color w:val="000000"/>
          <w:sz w:val="22"/>
        </w:rPr>
        <w:t xml:space="preserve">Inquiries concerning the status of a declaratory proceeding may be made to the division at the address disclosed in rule </w:t>
      </w:r>
      <w:hyperlink r:id="rId20">
        <w:r>
          <w:rPr>
            <w:rStyle w:val="Hyperlink"/>
            <w:rFonts w:ascii="Times New Roman" w:hAnsi="Times New Roman"/>
            <w:b w:val="false"/>
            <w:i w:val="false"/>
            <w:color w:val="000000"/>
            <w:sz w:val="22"/>
          </w:rPr>
          <w:t>191—1.4</w:t>
        </w:r>
      </w:hyperlink>
      <w:r>
        <w:rPr>
          <w:rFonts w:ascii="Times New Roman" w:hAnsi="Times New Roman"/>
          <w:b w:val="false"/>
          <w:i w:val="false"/>
          <w:color w:val="000000"/>
          <w:sz w:val="22"/>
        </w:rPr>
        <w:t>(502,505).</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7732C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191—4.13</w:t>
      </w:r>
      <w:r>
        <w:rPr>
          <w:rFonts w:ascii="Times New Roman" w:hAnsi="Times New Roman"/>
          <w:b/>
          <w:i w:val="false"/>
          <w:color w:val="000000"/>
          <w:sz w:val="22"/>
        </w:rPr>
        <w:t xml:space="preserve">(17A) </w:t>
      </w:r>
      <w:r>
        <w:rPr>
          <w:rFonts w:ascii="Times New Roman" w:hAnsi="Times New Roman"/>
          <w:b/>
          <w:i w:val="false"/>
          <w:color w:val="000000"/>
          <w:sz w:val="22"/>
        </w:rPr>
        <w:t xml:space="preserve">Service and filing of petitions and other papers.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4.13(1)</w:t>
      </w:r>
      <w:r>
        <w:rPr>
          <w:rFonts w:ascii="Times New Roman" w:hAnsi="Times New Roman"/>
          <w:b w:val="false"/>
          <w:i w:val="false"/>
          <w:color w:val="000000"/>
          <w:sz w:val="22"/>
        </w:rPr>
        <w:t> </w:t>
      </w:r>
      <w:r>
        <w:rPr>
          <w:rFonts w:ascii="Times New Roman" w:hAnsi="Times New Roman"/>
          <w:b w:val="false"/>
          <w:i/>
          <w:color w:val="000000"/>
          <w:sz w:val="22"/>
        </w:rPr>
        <w:t xml:space="preserve">When service required. </w:t>
      </w:r>
      <w:r>
        <w:rPr>
          <w:rFonts w:ascii="Times New Roman" w:hAnsi="Times New Roman"/>
          <w:b w:val="false"/>
          <w:i w:val="false"/>
          <w:color w:val="000000"/>
          <w:sz w:val="22"/>
        </w:rPr>
        <w:t>Except where otherwise provided by law, every petition for declaratory order, petition for intervention, brief, or other paper filed in a proceeding for a declaratory order shall be served upon each of the parties of record to the proceeding and on all other persons identified in the petition for declaratory order or petition for intervention as affected by or interested in the questions presented, simultaneously with its filing. The party filing a document is responsible for service on all parties and other affected or interested persons.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4.13(2)</w:t>
      </w:r>
      <w:r>
        <w:rPr>
          <w:rFonts w:ascii="Times New Roman" w:hAnsi="Times New Roman"/>
          <w:b w:val="false"/>
          <w:i w:val="false"/>
          <w:color w:val="000000"/>
          <w:sz w:val="22"/>
        </w:rPr>
        <w:t> </w:t>
      </w:r>
      <w:r>
        <w:rPr>
          <w:rFonts w:ascii="Times New Roman" w:hAnsi="Times New Roman"/>
          <w:b w:val="false"/>
          <w:i/>
          <w:color w:val="000000"/>
          <w:sz w:val="22"/>
        </w:rPr>
        <w:t xml:space="preserve">Filing—when required. </w:t>
      </w:r>
      <w:r>
        <w:rPr>
          <w:rFonts w:ascii="Times New Roman" w:hAnsi="Times New Roman"/>
          <w:b w:val="false"/>
          <w:i w:val="false"/>
          <w:color w:val="000000"/>
          <w:sz w:val="22"/>
        </w:rPr>
        <w:t xml:space="preserve">All petitions for declaratory orders, petitions for intervention, briefs, or other papers in a proceeding for a declaratory order shall be filed with the division at the address disclosed in rule </w:t>
      </w:r>
      <w:hyperlink r:id="rId21">
        <w:r>
          <w:rPr>
            <w:rStyle w:val="Hyperlink"/>
            <w:rFonts w:ascii="Times New Roman" w:hAnsi="Times New Roman"/>
            <w:b w:val="false"/>
            <w:i w:val="false"/>
            <w:color w:val="000000"/>
            <w:sz w:val="22"/>
          </w:rPr>
          <w:t>191—1.4</w:t>
        </w:r>
      </w:hyperlink>
      <w:r>
        <w:rPr>
          <w:rFonts w:ascii="Times New Roman" w:hAnsi="Times New Roman"/>
          <w:b w:val="false"/>
          <w:i w:val="false"/>
          <w:color w:val="000000"/>
          <w:sz w:val="22"/>
        </w:rPr>
        <w:t>(502,505). All petitions, briefs, or other papers required to be served upon a party shall be filed simultaneously with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4.13(3)</w:t>
      </w:r>
      <w:r>
        <w:rPr>
          <w:rFonts w:ascii="Times New Roman" w:hAnsi="Times New Roman"/>
          <w:b w:val="false"/>
          <w:i w:val="false"/>
          <w:color w:val="000000"/>
          <w:sz w:val="22"/>
        </w:rPr>
        <w:t> </w:t>
      </w:r>
      <w:r>
        <w:rPr>
          <w:rFonts w:ascii="Times New Roman" w:hAnsi="Times New Roman"/>
          <w:b w:val="false"/>
          <w:i/>
          <w:color w:val="000000"/>
          <w:sz w:val="22"/>
        </w:rPr>
        <w:t xml:space="preserve">Method of service, time of filing, proof of mailing. </w:t>
      </w:r>
      <w:r>
        <w:rPr>
          <w:rFonts w:ascii="Times New Roman" w:hAnsi="Times New Roman"/>
          <w:b w:val="false"/>
          <w:i w:val="false"/>
          <w:color w:val="000000"/>
          <w:sz w:val="22"/>
        </w:rPr>
        <w:t xml:space="preserve">Method of service, time of filing, and proof of mailing shall be as provided by rule </w:t>
      </w:r>
      <w:hyperlink r:id="rId22">
        <w:r>
          <w:rPr>
            <w:rStyle w:val="Hyperlink"/>
            <w:rFonts w:ascii="Times New Roman" w:hAnsi="Times New Roman"/>
            <w:b w:val="false"/>
            <w:i w:val="false"/>
            <w:color w:val="000000"/>
            <w:sz w:val="22"/>
          </w:rPr>
          <w:t>191—3.12</w:t>
        </w:r>
      </w:hyperlink>
      <w:r>
        <w:rPr>
          <w:rFonts w:ascii="Times New Roman" w:hAnsi="Times New Roman"/>
          <w:b w:val="false"/>
          <w:i w:val="false"/>
          <w:color w:val="000000"/>
          <w:sz w:val="22"/>
        </w:rPr>
        <w:t>(17A).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7732C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191—4.14</w:t>
      </w:r>
      <w:r>
        <w:rPr>
          <w:rFonts w:ascii="Times New Roman" w:hAnsi="Times New Roman"/>
          <w:b/>
          <w:i w:val="false"/>
          <w:color w:val="000000"/>
          <w:sz w:val="22"/>
        </w:rPr>
        <w:t xml:space="preserve">(17A) </w:t>
      </w:r>
      <w:r>
        <w:rPr>
          <w:rFonts w:ascii="Times New Roman" w:hAnsi="Times New Roman"/>
          <w:b/>
          <w:i w:val="false"/>
          <w:color w:val="000000"/>
          <w:sz w:val="22"/>
        </w:rPr>
        <w:t xml:space="preserve">Consideration. </w:t>
      </w:r>
      <w:r>
        <w:rPr>
          <w:rFonts w:ascii="Times New Roman" w:hAnsi="Times New Roman"/>
          <w:b w:val="false"/>
          <w:i w:val="false"/>
          <w:color w:val="000000"/>
          <w:sz w:val="22"/>
        </w:rPr>
        <w:t>Upon request by the petitioner, the division must schedule an informal meeting between the original petitioner, all intervenors, and the commissioner, or a member of the commissioner’s staff, to discuss the questions raised.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7732C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191—4.15</w:t>
      </w:r>
      <w:r>
        <w:rPr>
          <w:rFonts w:ascii="Times New Roman" w:hAnsi="Times New Roman"/>
          <w:b/>
          <w:i w:val="false"/>
          <w:color w:val="000000"/>
          <w:sz w:val="22"/>
        </w:rPr>
        <w:t xml:space="preserve">(17A) </w:t>
      </w:r>
      <w:r>
        <w:rPr>
          <w:rFonts w:ascii="Times New Roman" w:hAnsi="Times New Roman"/>
          <w:b/>
          <w:i w:val="false"/>
          <w:color w:val="000000"/>
          <w:sz w:val="22"/>
        </w:rPr>
        <w:t xml:space="preserve">Action on petition.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w:t>
      </w:r>
      <w:r>
        <w:rPr>
          <w:rFonts w:ascii="Times New Roman" w:hAnsi="Times New Roman"/>
          <w:b w:val="false"/>
          <w:i w:val="false"/>
          <w:color w:val="000000"/>
          <w:sz w:val="22"/>
        </w:rPr>
        <w:t> </w:t>
      </w:r>
      <w:r>
        <w:rPr>
          <w:rFonts w:ascii="Times New Roman" w:hAnsi="Times New Roman"/>
          <w:b w:val="false"/>
          <w:i w:val="false"/>
          <w:color w:val="000000"/>
          <w:sz w:val="22"/>
        </w:rPr>
        <w:t xml:space="preserve">Within the time allowed by Iowa Code section </w:t>
      </w:r>
      <w:hyperlink r:id="rId23">
        <w:r>
          <w:rPr>
            <w:rStyle w:val="Hyperlink"/>
            <w:rFonts w:ascii="Times New Roman" w:hAnsi="Times New Roman"/>
            <w:b w:val="false"/>
            <w:i w:val="false"/>
            <w:color w:val="000000"/>
            <w:sz w:val="22"/>
          </w:rPr>
          <w:t>17A.9(5)</w:t>
        </w:r>
      </w:hyperlink>
      <w:r>
        <w:rPr>
          <w:rFonts w:ascii="Times New Roman" w:hAnsi="Times New Roman"/>
          <w:b w:val="false"/>
          <w:i w:val="false"/>
          <w:color w:val="000000"/>
          <w:sz w:val="22"/>
        </w:rPr>
        <w:t xml:space="preserve">, after receiving a petition for a declaratory order, the division shall take action on the petition as required by Iowa Code section </w:t>
      </w:r>
      <w:hyperlink r:id="rId24">
        <w:r>
          <w:rPr>
            <w:rStyle w:val="Hyperlink"/>
            <w:rFonts w:ascii="Times New Roman" w:hAnsi="Times New Roman"/>
            <w:b w:val="false"/>
            <w:i w:val="false"/>
            <w:color w:val="000000"/>
            <w:sz w:val="22"/>
          </w:rPr>
          <w:t>17A.9(5)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4.15(2)</w:t>
      </w:r>
      <w:r>
        <w:rPr>
          <w:rFonts w:ascii="Times New Roman" w:hAnsi="Times New Roman"/>
          <w:b w:val="false"/>
          <w:i w:val="false"/>
          <w:color w:val="000000"/>
          <w:sz w:val="22"/>
        </w:rPr>
        <w:t> </w:t>
      </w:r>
      <w:r>
        <w:rPr>
          <w:rFonts w:ascii="Times New Roman" w:hAnsi="Times New Roman"/>
          <w:b w:val="false"/>
          <w:i w:val="false"/>
          <w:color w:val="000000"/>
          <w:sz w:val="22"/>
        </w:rPr>
        <w:t xml:space="preserve">The date of issuance of an order is as defined in rule </w:t>
      </w:r>
      <w:hyperlink r:id="rId25">
        <w:r>
          <w:rPr>
            <w:rStyle w:val="Hyperlink"/>
            <w:rFonts w:ascii="Times New Roman" w:hAnsi="Times New Roman"/>
            <w:b w:val="false"/>
            <w:i w:val="false"/>
            <w:color w:val="000000"/>
            <w:sz w:val="22"/>
          </w:rPr>
          <w:t>191—3.2</w:t>
        </w:r>
      </w:hyperlink>
      <w:r>
        <w:rPr>
          <w:rFonts w:ascii="Times New Roman" w:hAnsi="Times New Roman"/>
          <w:b w:val="false"/>
          <w:i w:val="false"/>
          <w:color w:val="000000"/>
          <w:sz w:val="22"/>
        </w:rPr>
        <w:t>(17A).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7732C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191—4.16</w:t>
      </w:r>
      <w:r>
        <w:rPr>
          <w:rFonts w:ascii="Times New Roman" w:hAnsi="Times New Roman"/>
          <w:b/>
          <w:i w:val="false"/>
          <w:color w:val="000000"/>
          <w:sz w:val="22"/>
        </w:rPr>
        <w:t xml:space="preserve">(17A) </w:t>
      </w:r>
      <w:r>
        <w:rPr>
          <w:rFonts w:ascii="Times New Roman" w:hAnsi="Times New Roman"/>
          <w:b/>
          <w:i w:val="false"/>
          <w:color w:val="000000"/>
          <w:sz w:val="22"/>
        </w:rPr>
        <w:t xml:space="preserve">Refusal to issue order.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division shall not issue a declaratory order where prohibited by Iowa Code section </w:t>
      </w:r>
      <w:hyperlink r:id="rId26">
        <w:r>
          <w:rPr>
            <w:rStyle w:val="Hyperlink"/>
            <w:rFonts w:ascii="Times New Roman" w:hAnsi="Times New Roman"/>
            <w:b w:val="false"/>
            <w:i w:val="false"/>
            <w:color w:val="000000"/>
            <w:sz w:val="22"/>
          </w:rPr>
          <w:t>17A.9(1)</w:t>
        </w:r>
      </w:hyperlink>
      <w:r>
        <w:rPr>
          <w:rFonts w:ascii="Times New Roman" w:hAnsi="Times New Roman"/>
          <w:b w:val="false"/>
          <w:i w:val="false"/>
          <w:color w:val="000000"/>
          <w:sz w:val="22"/>
        </w:rPr>
        <w:t xml:space="preserve"> and may refuse to issue a declaratory order on some or all questions raised for any of the following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petition does not substantially comply with the required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petition does not contain facts sufficient to demonstrate that the petitioner will be aggrieved or adversely affected by failure of the division to issue an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division does not have jurisdiction over the questions presented in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questions presented by the petition are also presented in a current rulemaking, contested case, or other agency or judicial proceeding that may definitively resolve them.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questions presented by the petition would more properly be resolved in a different type of proceeding or by another body with jurisdiction over the matter.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facts or questions presented in the petition are unclear, overbroad, insufficient, or otherwise inappropriate as a basis upon which to issue an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There is no need to issue an order because the questions raised in the petition have been settled due to a change in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petition is not based upon facts calculated to aid in the planning of future conduct but is, instead, based solely upon prior conduct in an effort to establish the effect of that conduct or to challenge a division decision already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petition requests a declaratory order that would necessarily determine the legal rights, duties, or responsibilities of other persons who have not joined in the petition, intervened separately, or filed a similar petition and whose position on the questions presented may fairly be presumed to be adverse to that of the petitioner.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petition requests the division to determine whether a statute is unconstitutional on its face.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4.16(2)</w:t>
      </w:r>
      <w:r>
        <w:rPr>
          <w:rFonts w:ascii="Times New Roman" w:hAnsi="Times New Roman"/>
          <w:b w:val="false"/>
          <w:i w:val="false"/>
          <w:color w:val="000000"/>
          <w:sz w:val="22"/>
        </w:rPr>
        <w:t> </w:t>
      </w:r>
      <w:r>
        <w:rPr>
          <w:rFonts w:ascii="Times New Roman" w:hAnsi="Times New Roman"/>
          <w:b w:val="false"/>
          <w:i w:val="false"/>
          <w:color w:val="000000"/>
          <w:sz w:val="22"/>
        </w:rPr>
        <w:t>A refusal by the division to issue a declaratory order must indicate the specific grounds for refusal and constitutes final agency action on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4.16(3)</w:t>
      </w:r>
      <w:r>
        <w:rPr>
          <w:rFonts w:ascii="Times New Roman" w:hAnsi="Times New Roman"/>
          <w:b w:val="false"/>
          <w:i w:val="false"/>
          <w:color w:val="000000"/>
          <w:sz w:val="22"/>
        </w:rPr>
        <w:t> </w:t>
      </w:r>
      <w:r>
        <w:rPr>
          <w:rFonts w:ascii="Times New Roman" w:hAnsi="Times New Roman"/>
          <w:b w:val="false"/>
          <w:i w:val="false"/>
          <w:color w:val="000000"/>
          <w:sz w:val="22"/>
        </w:rPr>
        <w:t>Refusal to issue a declaratory order pursuant to this rule does not preclude a petitioner from filing a new petition that seeks to eliminate the grounds for refusal to issue a ruling.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7732C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191—4.17</w:t>
      </w:r>
      <w:r>
        <w:rPr>
          <w:rFonts w:ascii="Times New Roman" w:hAnsi="Times New Roman"/>
          <w:b/>
          <w:i w:val="false"/>
          <w:color w:val="000000"/>
          <w:sz w:val="22"/>
        </w:rPr>
        <w:t xml:space="preserve">(17A) </w:t>
      </w:r>
      <w:r>
        <w:rPr>
          <w:rFonts w:ascii="Times New Roman" w:hAnsi="Times New Roman"/>
          <w:b/>
          <w:i w:val="false"/>
          <w:color w:val="000000"/>
          <w:sz w:val="22"/>
        </w:rPr>
        <w:t xml:space="preserve">Contents of declaratory order—effective date.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4.17(1)</w:t>
      </w:r>
      <w:r>
        <w:rPr>
          <w:rFonts w:ascii="Times New Roman" w:hAnsi="Times New Roman"/>
          <w:b w:val="false"/>
          <w:i w:val="false"/>
          <w:color w:val="000000"/>
          <w:sz w:val="22"/>
        </w:rPr>
        <w:t> </w:t>
      </w:r>
      <w:r>
        <w:rPr>
          <w:rFonts w:ascii="Times New Roman" w:hAnsi="Times New Roman"/>
          <w:b w:val="false"/>
          <w:i w:val="false"/>
          <w:color w:val="000000"/>
          <w:sz w:val="22"/>
        </w:rPr>
        <w:t>In addition to the order itself, a declaratory order must contain the date of its issuance; the name of the petitioner and all intervenors; the specific statutes, rules, policies, decisions, or orders involved; the particular facts upon which it is based; and the reasons for its conclusion.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4.17(2)</w:t>
      </w:r>
      <w:r>
        <w:rPr>
          <w:rFonts w:ascii="Times New Roman" w:hAnsi="Times New Roman"/>
          <w:b w:val="false"/>
          <w:i w:val="false"/>
          <w:color w:val="000000"/>
          <w:sz w:val="22"/>
        </w:rPr>
        <w:t> </w:t>
      </w:r>
      <w:r>
        <w:rPr>
          <w:rFonts w:ascii="Times New Roman" w:hAnsi="Times New Roman"/>
          <w:b w:val="false"/>
          <w:i w:val="false"/>
          <w:color w:val="000000"/>
          <w:sz w:val="22"/>
        </w:rPr>
        <w:t xml:space="preserve">A declaratory order is effective on the date of issuance.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7732C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191—4.18</w:t>
      </w:r>
      <w:r>
        <w:rPr>
          <w:rFonts w:ascii="Times New Roman" w:hAnsi="Times New Roman"/>
          <w:b/>
          <w:i w:val="false"/>
          <w:color w:val="000000"/>
          <w:sz w:val="22"/>
        </w:rPr>
        <w:t xml:space="preserve">(17A) </w:t>
      </w:r>
      <w:r>
        <w:rPr>
          <w:rFonts w:ascii="Times New Roman" w:hAnsi="Times New Roman"/>
          <w:b/>
          <w:i w:val="false"/>
          <w:color w:val="000000"/>
          <w:sz w:val="22"/>
        </w:rPr>
        <w:t xml:space="preserve">Copies of orders. </w:t>
      </w:r>
      <w:r>
        <w:rPr>
          <w:rFonts w:ascii="Times New Roman" w:hAnsi="Times New Roman"/>
          <w:b w:val="false"/>
          <w:i w:val="false"/>
          <w:color w:val="000000"/>
          <w:sz w:val="22"/>
        </w:rPr>
        <w:t>A copy of all orders issued in response to a petition for a declaratory order must be mailed or emailed by the division promptly to the original petitioner and all intervenors.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7732C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191—4.19</w:t>
      </w:r>
      <w:r>
        <w:rPr>
          <w:rFonts w:ascii="Times New Roman" w:hAnsi="Times New Roman"/>
          <w:b/>
          <w:i w:val="false"/>
          <w:color w:val="000000"/>
          <w:sz w:val="22"/>
        </w:rPr>
        <w:t xml:space="preserve">(17A) </w:t>
      </w:r>
      <w:r>
        <w:rPr>
          <w:rFonts w:ascii="Times New Roman" w:hAnsi="Times New Roman"/>
          <w:b/>
          <w:i w:val="false"/>
          <w:color w:val="000000"/>
          <w:sz w:val="22"/>
        </w:rPr>
        <w:t xml:space="preserve">Effect of a declaratory order. </w:t>
      </w:r>
      <w:r>
        <w:rPr>
          <w:rFonts w:ascii="Times New Roman" w:hAnsi="Times New Roman"/>
          <w:b w:val="false"/>
          <w:i w:val="false"/>
          <w:color w:val="000000"/>
          <w:sz w:val="22"/>
        </w:rPr>
        <w:t>A declaratory order has the same status and binding effect as a final order issued in a contested case proceeding. It is binding on the division, the petitioner, and any intervenors who consent to be bound and is applicable only in circumstances where the relevant facts and the law involved are indistinguishable from those on which the order was based. As to all other persons, a declaratory order serves only as precedent and is not binding on the division. Issuance of a declaratory order constitutes final agency action on the petition.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7732C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 rules in this division are intended to implement Iowa Code section </w:t>
      </w:r>
      <w:hyperlink r:id="rId27">
        <w:r>
          <w:rPr>
            <w:rStyle w:val="Hyperlink"/>
            <w:rFonts w:ascii="Times New Roman" w:hAnsi="Times New Roman"/>
            <w:b w:val="false"/>
            <w:i w:val="false"/>
            <w:color w:val="000000"/>
            <w:sz w:val="22"/>
          </w:rPr>
          <w:t>17A.9</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July 1, 1975]</w:t>
      </w:r>
    </w:p>
    <w:p>
      <w:pPr>
        <w:spacing w:before="0" w:after="0"/>
        <w:ind w:left="120"/>
        <w:jc w:val="center"/>
      </w:pPr>
      <w:r>
        <w:rPr>
          <w:rFonts w:ascii="Times New Roman" w:hAnsi="Times New Roman"/>
          <w:b w:val="false"/>
          <w:i w:val="false"/>
          <w:color w:val="000000"/>
          <w:sz w:val="21"/>
        </w:rPr>
        <w:t>[Filed 3/2/79, Notice 1/10/79—published 3/21/79, effective 4/26/79]</w:t>
      </w:r>
    </w:p>
    <w:p>
      <w:pPr>
        <w:spacing w:before="0" w:after="0"/>
        <w:ind w:left="120"/>
        <w:jc w:val="center"/>
      </w:pPr>
      <w:r>
        <w:rPr>
          <w:rFonts w:ascii="Times New Roman" w:hAnsi="Times New Roman"/>
          <w:b w:val="false"/>
          <w:i w:val="false"/>
          <w:color w:val="000000"/>
          <w:sz w:val="21"/>
        </w:rPr>
        <w:t xml:space="preserve">[Editorially transferred from [501] to [191], IAC Supp. 10/22/86; see </w:t>
      </w:r>
      <w:r>
        <w:rPr>
          <w:rFonts w:ascii="Times New Roman" w:hAnsi="Times New Roman"/>
          <w:b w:val="false"/>
          <w:i w:val="false"/>
          <w:color w:val="000000"/>
          <w:sz w:val="21"/>
        </w:rPr>
        <w:t>IAB 7/30/86</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1/23/87, Notice 11/5/86—published 2/11/87, effective 3/18/87]</w:t>
      </w:r>
    </w:p>
    <w:p>
      <w:pPr>
        <w:spacing w:before="0" w:after="0"/>
        <w:ind w:left="120"/>
        <w:jc w:val="center"/>
      </w:pPr>
      <w:r>
        <w:rPr>
          <w:rFonts w:ascii="Times New Roman" w:hAnsi="Times New Roman"/>
          <w:b w:val="false"/>
          <w:i w:val="false"/>
          <w:color w:val="000000"/>
          <w:sz w:val="21"/>
        </w:rPr>
        <w:t>[Filed 4/30/99, Notice 3/24/99—published 5/19/99, effective 6/23/99]</w:t>
      </w:r>
    </w:p>
    <w:p>
      <w:pPr>
        <w:spacing w:before="0" w:after="0"/>
        <w:ind w:left="120"/>
        <w:jc w:val="center"/>
      </w:pPr>
      <w:r>
        <w:rPr>
          <w:rFonts w:ascii="Times New Roman" w:hAnsi="Times New Roman"/>
          <w:b w:val="false"/>
          <w:i w:val="false"/>
          <w:color w:val="000000"/>
          <w:sz w:val="21"/>
        </w:rPr>
        <w:t>[Filed 5/24/01, Notice 4/4/01—published 6/13/01, effective 7/18/01]</w:t>
      </w:r>
    </w:p>
    <w:p>
      <w:pPr>
        <w:spacing w:before="0" w:after="0"/>
        <w:ind w:left="120"/>
        <w:jc w:val="center"/>
      </w:pPr>
      <w:r>
        <w:rPr>
          <w:rFonts w:ascii="Times New Roman" w:hAnsi="Times New Roman"/>
          <w:b w:val="false"/>
          <w:i w:val="false"/>
          <w:color w:val="000000"/>
          <w:sz w:val="21"/>
        </w:rPr>
        <w:t>[Filed ARC 2415C</w:t>
      </w:r>
      <w:r>
        <w:rPr>
          <w:rFonts w:ascii="Times New Roman" w:hAnsi="Times New Roman"/>
          <w:b w:val="false"/>
          <w:i w:val="false"/>
          <w:color w:val="000000"/>
          <w:sz w:val="21"/>
        </w:rPr>
        <w:t xml:space="preserve"> (Notice ARC 2078C, IAB 8/5/15)</w:t>
      </w:r>
      <w:r>
        <w:rPr>
          <w:rFonts w:ascii="Times New Roman" w:hAnsi="Times New Roman"/>
          <w:b w:val="false"/>
          <w:i w:val="false"/>
          <w:color w:val="000000"/>
          <w:sz w:val="21"/>
        </w:rPr>
        <w:t>, IAB 2/17/16, effective 3/23/16]</w:t>
      </w:r>
    </w:p>
    <w:p>
      <w:pPr>
        <w:spacing w:before="0" w:after="0"/>
        <w:ind w:left="120"/>
        <w:jc w:val="center"/>
      </w:pPr>
      <w:r>
        <w:rPr>
          <w:rFonts w:ascii="Times New Roman" w:hAnsi="Times New Roman"/>
          <w:b w:val="false"/>
          <w:i w:val="false"/>
          <w:color w:val="000000"/>
          <w:sz w:val="21"/>
        </w:rPr>
        <w:t>[Filed ARC 3682C</w:t>
      </w:r>
      <w:r>
        <w:rPr>
          <w:rFonts w:ascii="Times New Roman" w:hAnsi="Times New Roman"/>
          <w:b w:val="false"/>
          <w:i w:val="false"/>
          <w:color w:val="000000"/>
          <w:sz w:val="21"/>
        </w:rPr>
        <w:t xml:space="preserve"> (Notice ARC 3571C, IAB 1/17/18)</w:t>
      </w:r>
      <w:r>
        <w:rPr>
          <w:rFonts w:ascii="Times New Roman" w:hAnsi="Times New Roman"/>
          <w:b w:val="false"/>
          <w:i w:val="false"/>
          <w:color w:val="000000"/>
          <w:sz w:val="21"/>
        </w:rPr>
        <w:t>, IAB 3/14/18, effective 4/18/18]</w:t>
      </w:r>
    </w:p>
    <w:p>
      <w:pPr>
        <w:spacing w:before="0" w:after="0"/>
        <w:ind w:left="120"/>
        <w:jc w:val="center"/>
      </w:pPr>
      <w:r>
        <w:rPr>
          <w:rFonts w:ascii="Times New Roman" w:hAnsi="Times New Roman"/>
          <w:b w:val="false"/>
          <w:i w:val="false"/>
          <w:color w:val="000000"/>
          <w:sz w:val="21"/>
        </w:rPr>
        <w:t>[Filed ARC 4780C</w:t>
      </w:r>
      <w:r>
        <w:rPr>
          <w:rFonts w:ascii="Times New Roman" w:hAnsi="Times New Roman"/>
          <w:b w:val="false"/>
          <w:i w:val="false"/>
          <w:color w:val="000000"/>
          <w:sz w:val="21"/>
        </w:rPr>
        <w:t xml:space="preserve"> (Notice ARC 4660C, IAB 9/25/19)</w:t>
      </w:r>
      <w:r>
        <w:rPr>
          <w:rFonts w:ascii="Times New Roman" w:hAnsi="Times New Roman"/>
          <w:b w:val="false"/>
          <w:i w:val="false"/>
          <w:color w:val="000000"/>
          <w:sz w:val="21"/>
        </w:rPr>
        <w:t>, IAB 11/20/19, effective 12/25/19]</w:t>
      </w:r>
    </w:p>
    <w:p>
      <w:pPr>
        <w:spacing w:before="0" w:after="0"/>
        <w:ind w:left="120"/>
        <w:jc w:val="center"/>
      </w:pPr>
      <w:r>
        <w:rPr>
          <w:rFonts w:ascii="Times New Roman" w:hAnsi="Times New Roman"/>
          <w:b w:val="false"/>
          <w:i w:val="false"/>
          <w:color w:val="000000"/>
          <w:sz w:val="21"/>
        </w:rPr>
        <w:t>[Filed ARC 5197C</w:t>
      </w:r>
      <w:r>
        <w:rPr>
          <w:rFonts w:ascii="Times New Roman" w:hAnsi="Times New Roman"/>
          <w:b w:val="false"/>
          <w:i w:val="false"/>
          <w:color w:val="000000"/>
          <w:sz w:val="21"/>
        </w:rPr>
        <w:t xml:space="preserve"> (Notice ARC 5109C, IAB 7/29/20)</w:t>
      </w:r>
      <w:r>
        <w:rPr>
          <w:rFonts w:ascii="Times New Roman" w:hAnsi="Times New Roman"/>
          <w:b w:val="false"/>
          <w:i w:val="false"/>
          <w:color w:val="000000"/>
          <w:sz w:val="21"/>
        </w:rPr>
        <w:t>, IAB 9/23/20, effective 10/28/20]</w:t>
      </w:r>
    </w:p>
    <w:p>
      <w:pPr>
        <w:spacing w:before="0" w:after="0"/>
        <w:ind w:left="120"/>
        <w:jc w:val="center"/>
      </w:pPr>
      <w:r>
        <w:rPr>
          <w:rFonts w:ascii="Times New Roman" w:hAnsi="Times New Roman"/>
          <w:b w:val="false"/>
          <w:i w:val="false"/>
          <w:color w:val="000000"/>
          <w:sz w:val="21"/>
        </w:rPr>
        <w:t>[Filed ARC 7732C</w:t>
      </w:r>
      <w:r>
        <w:rPr>
          <w:rFonts w:ascii="Times New Roman" w:hAnsi="Times New Roman"/>
          <w:b w:val="false"/>
          <w:i w:val="false"/>
          <w:color w:val="000000"/>
          <w:sz w:val="21"/>
        </w:rPr>
        <w:t xml:space="preserve"> (Notice ARC 7347C, IAB 1/24/24)</w:t>
      </w:r>
      <w:r>
        <w:rPr>
          <w:rFonts w:ascii="Times New Roman" w:hAnsi="Times New Roman"/>
          <w:b w:val="false"/>
          <w:i w:val="false"/>
          <w:color w:val="000000"/>
          <w:sz w:val="21"/>
        </w:rPr>
        <w:t>, IAB 3/20/24, effective 4/24/24]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7A.pdf" Type="http://schemas.openxmlformats.org/officeDocument/2006/relationships/hyperlink" Id="rId5"/>
    <Relationship TargetMode="External" Target="https://www.legis.iowa.gov/docs/ico/chapter/17A.2.pdf" Type="http://schemas.openxmlformats.org/officeDocument/2006/relationships/hyperlink" Id="rId6"/>
    <Relationship TargetMode="External" Target="https://www.legis.iowa.gov/docs/iac/rule/191.1.1.pdf" Type="http://schemas.openxmlformats.org/officeDocument/2006/relationships/hyperlink" Id="rId7"/>
    <Relationship TargetMode="External" Target="https://www.legis.iowa.gov/docs/ico/chapter/502.pdf" Type="http://schemas.openxmlformats.org/officeDocument/2006/relationships/hyperlink" Id="rId8"/>
    <Relationship TargetMode="External" Target="https://www.legis.iowa.gov/docs/ico/chapter/17A.3.pdf" Type="http://schemas.openxmlformats.org/officeDocument/2006/relationships/hyperlink" Id="rId9"/>
    <Relationship TargetMode="External" Target="https://www.legis.iowa.gov/docs/ico/chapter/17A.6A.pdf" Type="http://schemas.openxmlformats.org/officeDocument/2006/relationships/hyperlink" Id="rId10"/>
    <Relationship TargetMode="External" Target="https://www.legis.iowa.gov/docs/iac/rule/191.1.4.pdf" Type="http://schemas.openxmlformats.org/officeDocument/2006/relationships/hyperlink" Id="rId11"/>
    <Relationship TargetMode="External" Target="https://www.legis.iowa.gov/docs/iac/rule/191.4.5.pdf" Type="http://schemas.openxmlformats.org/officeDocument/2006/relationships/hyperlink" Id="rId12"/>
    <Relationship TargetMode="External" Target="https://www.legis.iowa.gov/docs/ico/chapter/17A.10-18A.pdf" Type="http://schemas.openxmlformats.org/officeDocument/2006/relationships/hyperlink" Id="rId13"/>
    <Relationship TargetMode="External" Target="https://www.legis.iowa.gov/docs/ico/chapter/17A.9A.pdf" Type="http://schemas.openxmlformats.org/officeDocument/2006/relationships/hyperlink" Id="rId14"/>
    <Relationship TargetMode="External" Target="https://www.legis.iowa.gov/docs/iac/rule/191.1.4.pdf" Type="http://schemas.openxmlformats.org/officeDocument/2006/relationships/hyperlink" Id="rId15"/>
    <Relationship TargetMode="External" Target="https://www.legis.iowa.gov/docs/iac/rule/191.4.14.pdf" Type="http://schemas.openxmlformats.org/officeDocument/2006/relationships/hyperlink" Id="rId16"/>
    <Relationship TargetMode="External" Target="https://www.legis.iowa.gov/docs/iac/rule/191.4.13.pdf" Type="http://schemas.openxmlformats.org/officeDocument/2006/relationships/hyperlink" Id="rId17"/>
    <Relationship TargetMode="External" Target="https://www.legis.iowa.gov/docs/iac/rule/191.4.9.pdf" Type="http://schemas.openxmlformats.org/officeDocument/2006/relationships/hyperlink" Id="rId18"/>
    <Relationship TargetMode="External" Target="https://www.legis.iowa.gov/docs/iac/rule/191.4.15.pdf" Type="http://schemas.openxmlformats.org/officeDocument/2006/relationships/hyperlink" Id="rId19"/>
    <Relationship TargetMode="External" Target="https://www.legis.iowa.gov/docs/iac/rule/191.1.4.pdf" Type="http://schemas.openxmlformats.org/officeDocument/2006/relationships/hyperlink" Id="rId20"/>
    <Relationship TargetMode="External" Target="https://www.legis.iowa.gov/docs/iac/rule/191.1.4.pdf" Type="http://schemas.openxmlformats.org/officeDocument/2006/relationships/hyperlink" Id="rId21"/>
    <Relationship TargetMode="External" Target="https://www.legis.iowa.gov/docs/iac/rule/191.3.12.pdf" Type="http://schemas.openxmlformats.org/officeDocument/2006/relationships/hyperlink" Id="rId22"/>
    <Relationship TargetMode="External" Target="https://www.legis.iowa.gov/docs/ico/chapter/17A.9.pdf" Type="http://schemas.openxmlformats.org/officeDocument/2006/relationships/hyperlink" Id="rId23"/>
    <Relationship TargetMode="External" Target="https://www.legis.iowa.gov/docs/ico/chapter/17A.9.pdf" Type="http://schemas.openxmlformats.org/officeDocument/2006/relationships/hyperlink" Id="rId24"/>
    <Relationship TargetMode="External" Target="https://www.legis.iowa.gov/docs/iac/rule/191.3.2.pdf" Type="http://schemas.openxmlformats.org/officeDocument/2006/relationships/hyperlink" Id="rId25"/>
    <Relationship TargetMode="External" Target="https://www.legis.iowa.gov/docs/ico/chapter/17A.9.pdf" Type="http://schemas.openxmlformats.org/officeDocument/2006/relationships/hyperlink" Id="rId26"/>
    <Relationship TargetMode="External" Target="https://www.legis.iowa.gov/docs/ico/chapter/17A.9.pdf" Type="http://schemas.openxmlformats.org/officeDocument/2006/relationships/hyperlink" Id="rId2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