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CONTESTED CASES</w:t>
      </w:r>
    </w:p>
    <w:p>
      <w:pPr>
        <w:spacing w:before="0" w:after="0"/>
        <w:ind w:left="120"/>
        <w:jc w:val="center"/>
      </w:pPr>
      <w:r>
        <w:rPr>
          <w:rFonts w:ascii="Times New Roman" w:hAnsi="Times New Roman"/>
          <w:b w:val="false"/>
          <w:i w:val="false"/>
          <w:color w:val="000000"/>
          <w:sz w:val="14"/>
        </w:rPr>
        <w:t>[Prior to 10/22/86, Insurance Department[510]]</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191—3.1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This chapter applies to contested case proceedings conducted by the insurance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rule </w:t>
      </w:r>
      <w:hyperlink r:id="rId5">
        <w:r>
          <w:rPr>
            <w:rStyle w:val="Hyperlink"/>
            <w:rFonts w:ascii="Times New Roman" w:hAnsi="Times New Roman"/>
            <w:b w:val="false"/>
            <w:i w:val="false"/>
            <w:color w:val="000000"/>
            <w:sz w:val="22"/>
          </w:rPr>
          <w:t>191—1.1</w:t>
        </w:r>
      </w:hyperlink>
      <w:r>
        <w:rPr>
          <w:rFonts w:ascii="Times New Roman" w:hAnsi="Times New Roman"/>
          <w:b w:val="false"/>
          <w:i w:val="false"/>
          <w:color w:val="000000"/>
          <w:sz w:val="22"/>
        </w:rPr>
        <w:t>(502,505), and except where otherwise specifically defined by law or the context otherwise requires,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6">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7">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“File,” “filed,”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“filing,” </w:t>
      </w:r>
      <w:r>
        <w:rPr>
          <w:rFonts w:ascii="Times New Roman" w:hAnsi="Times New Roman"/>
          <w:b w:val="false"/>
          <w:i w:val="false"/>
          <w:color w:val="000000"/>
          <w:sz w:val="22"/>
        </w:rPr>
        <w:t xml:space="preserve">when used as a verb, means the actions set forth in subrules </w:t>
      </w:r>
      <w:hyperlink r:id="rId8">
        <w:r>
          <w:rPr>
            <w:rStyle w:val="Hyperlink"/>
            <w:rFonts w:ascii="Times New Roman" w:hAnsi="Times New Roman"/>
            <w:b w:val="false"/>
            <w:i w:val="false"/>
            <w:color w:val="000000"/>
            <w:sz w:val="22"/>
          </w:rPr>
          <w:t>3.12(3)</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3.12(4)</w:t>
        </w:r>
      </w:hyperlink>
      <w:r>
        <w:rPr>
          <w:rFonts w:ascii="Times New Roman" w:hAnsi="Times New Roman"/>
          <w:b w:val="false"/>
          <w:i w:val="false"/>
          <w:color w:val="000000"/>
          <w:sz w:val="22"/>
        </w:rPr>
        <w:t>, except otherwise specifically defined by law. “Filing,” when used as a noun, means the documents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the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the whole or a part of any permit, certificate, approval, registration, charter or similar form of permission required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person or entity to whom the division has issued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the commissioner, the commissioner’s designee or an administrative law judge from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administrative law judge’s or the commissioner’s designee’s recommended findings of fact, conclusions of law, decision, and order in a contested case in which the commissioner did not preside.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“Provision of law”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shall be computed as provided in Iowa Code section </w:t>
      </w:r>
      <w:hyperlink r:id="rId13">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Except for good cause stated in the record, before extending or shortening the time to take any action, the presiding officer may afford all parties an opportunity to be heard or to file written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191—3.4</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for contested case proceeding. </w:t>
      </w:r>
      <w:r>
        <w:rPr>
          <w:rFonts w:ascii="Times New Roman" w:hAnsi="Times New Roman"/>
          <w:b w:val="false"/>
          <w:i w:val="false"/>
          <w:color w:val="000000"/>
          <w:sz w:val="22"/>
        </w:rPr>
        <w:t xml:space="preserve">Any person claiming an entitlement to a contested case proceeding shall file a written request for such a proceeding within the time specified by the particular rules or statutes governing the subject matter or, in the absence of such law, the time specified in the division action in question. The request shall be filed with the division at the address disclosed in rule </w:t>
      </w:r>
      <w:hyperlink r:id="rId14">
        <w:r>
          <w:rPr>
            <w:rStyle w:val="Hyperlink"/>
            <w:rFonts w:ascii="Times New Roman" w:hAnsi="Times New Roman"/>
            <w:b w:val="false"/>
            <w:i w:val="false"/>
            <w:color w:val="000000"/>
            <w:sz w:val="22"/>
          </w:rPr>
          <w:t>191—1.4</w:t>
        </w:r>
      </w:hyperlink>
      <w:r>
        <w:rPr>
          <w:rFonts w:ascii="Times New Roman" w:hAnsi="Times New Roman"/>
          <w:b w:val="false"/>
          <w:i w:val="false"/>
          <w:color w:val="000000"/>
          <w:sz w:val="22"/>
        </w:rPr>
        <w:t>(502,505).</w:t>
      </w:r>
    </w:p>
    <w:p>
      <w:pPr>
        <w:spacing w:before="0" w:after="0"/>
        <w:ind w:left="120"/>
        <w:jc w:val="both"/>
      </w:pPr>
      <w:r>
        <w:rPr>
          <w:rFonts w:ascii="Times New Roman" w:hAnsi="Times New Roman"/>
          <w:b w:val="false"/>
          <w:i w:val="false"/>
          <w:color w:val="000000"/>
          <w:sz w:val="22"/>
        </w:rPr>
        <w:t>The request for a contested case proceeding shall state the name and address of the requester; identify the specific division action that is disputed if applicable; include a short and plain statement of the issues of material fact in dispute; and, where the requester is represented by a lawyer, identify the provisions of law or precedent requiring or authorizing a contested case proceeding in the particular circumstances involved.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191—3.5</w:t>
      </w:r>
      <w:r>
        <w:rPr>
          <w:rFonts w:ascii="Times New Roman" w:hAnsi="Times New Roman"/>
          <w:b/>
          <w:i w:val="false"/>
          <w:color w:val="000000"/>
          <w:sz w:val="22"/>
        </w:rPr>
        <w:t xml:space="preserve">(17A,507B) </w:t>
      </w:r>
      <w:r>
        <w:rPr>
          <w:rFonts w:ascii="Times New Roman" w:hAnsi="Times New Roman"/>
          <w:b/>
          <w:i w:val="false"/>
          <w:color w:val="000000"/>
          <w:sz w:val="22"/>
        </w:rPr>
        <w:t xml:space="preserve">Commencement of hearing; service; delivery; notice of hearing; answer.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color w:val="000000"/>
          <w:sz w:val="22"/>
        </w:rPr>
        <w:t xml:space="preserve">Service and delivery of the 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Commencement of hearing. </w:t>
      </w:r>
      <w:r>
        <w:rPr>
          <w:rFonts w:ascii="Times New Roman" w:hAnsi="Times New Roman"/>
          <w:b w:val="false"/>
          <w:i w:val="false"/>
          <w:color w:val="000000"/>
          <w:sz w:val="22"/>
        </w:rPr>
        <w:t xml:space="preserve">Delivery of the notice of hearing referred to in this rule constitutes commencement of the contested case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Delivery of the notice of hearing. </w:t>
      </w:r>
      <w:r>
        <w:rPr>
          <w:rFonts w:ascii="Times New Roman" w:hAnsi="Times New Roman"/>
          <w:b w:val="false"/>
          <w:i w:val="false"/>
          <w:color w:val="000000"/>
          <w:sz w:val="22"/>
        </w:rPr>
        <w:t xml:space="preserve">Delivery shall be accomplished by personal service as provided in the Iowa Rules of Civil Procedure or by certified mail, return receipt requested, at least 15 days before the hearing date unless the parties agree to a shorter time period, or unless otherwise provided by statute. Proof of delivery by mail is the same as proof of mailing specified in subrule </w:t>
      </w:r>
      <w:hyperlink r:id="rId15">
        <w:r>
          <w:rPr>
            <w:rStyle w:val="Hyperlink"/>
            <w:rFonts w:ascii="Times New Roman" w:hAnsi="Times New Roman"/>
            <w:b w:val="false"/>
            <w:i w:val="false"/>
            <w:color w:val="000000"/>
            <w:sz w:val="22"/>
          </w:rPr>
          <w:t>3.12(5)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Consent to service upon the commissioner. </w:t>
      </w:r>
      <w:r>
        <w:rPr>
          <w:rFonts w:ascii="Times New Roman" w:hAnsi="Times New Roman"/>
          <w:b w:val="false"/>
          <w:i w:val="false"/>
          <w:color w:val="000000"/>
          <w:sz w:val="22"/>
        </w:rPr>
        <w:t>For persons who have consented in writing to have the commissioner accept service of process on their behalf, delivery of the notice of hearing referred to in this rule is accomplished at the time the notice of hearing is signed by the commissioner, unless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w:t>
      </w:r>
      <w:r>
        <w:rPr>
          <w:rFonts w:ascii="Times New Roman" w:hAnsi="Times New Roman"/>
          <w:b w:val="false"/>
          <w:i w:val="false"/>
          <w:color w:val="000000"/>
          <w:sz w:val="22"/>
        </w:rPr>
        <w:t> </w:t>
      </w:r>
      <w:r>
        <w:rPr>
          <w:rFonts w:ascii="Times New Roman" w:hAnsi="Times New Roman"/>
          <w:b w:val="false"/>
          <w:i/>
          <w:color w:val="000000"/>
          <w:sz w:val="22"/>
        </w:rPr>
        <w:t xml:space="preserve">Notice of hearing. </w:t>
      </w:r>
      <w:r>
        <w:rPr>
          <w:rFonts w:ascii="Times New Roman" w:hAnsi="Times New Roman"/>
          <w:b w:val="false"/>
          <w:i w:val="false"/>
          <w:color w:val="000000"/>
          <w:sz w:val="22"/>
        </w:rPr>
        <w:t>The notice of hearing shall be prepared in the form of an order and contain the following information in the notice of hearing or accompanying charging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If the division or other party is unable to state the matters in detail at the time the notice is served, the initial notice may be limited to a statement of the issues involved. Thereafter, upon written application, a more definite and detailed statement shall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act as advocate for the division and of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of the presiding officer and address, if known. If not known, a general description of the type of person who will serve as 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the time period in which a party may request, under rule </w:t>
      </w:r>
      <w:hyperlink r:id="rId16">
        <w:r>
          <w:rPr>
            <w:rStyle w:val="Hyperlink"/>
            <w:rFonts w:ascii="Times New Roman" w:hAnsi="Times New Roman"/>
            <w:b w:val="false"/>
            <w:i w:val="false"/>
            <w:color w:val="000000"/>
            <w:sz w:val="22"/>
          </w:rPr>
          <w:t>191—3.6</w:t>
        </w:r>
      </w:hyperlink>
      <w:r>
        <w:rPr>
          <w:rFonts w:ascii="Times New Roman" w:hAnsi="Times New Roman"/>
          <w:b w:val="false"/>
          <w:i w:val="false"/>
          <w:color w:val="000000"/>
          <w:sz w:val="22"/>
        </w:rPr>
        <w:t>(17A), that the presiding officer be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that failure to file an answer within 20 days of service may result in default pursuant to rule </w:t>
      </w:r>
      <w:hyperlink r:id="rId17">
        <w:r>
          <w:rPr>
            <w:rStyle w:val="Hyperlink"/>
            <w:rFonts w:ascii="Times New Roman" w:hAnsi="Times New Roman"/>
            <w:b w:val="false"/>
            <w:i w:val="false"/>
            <w:color w:val="000000"/>
            <w:sz w:val="22"/>
          </w:rPr>
          <w:t>191—3.22(17A)</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discovery.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w:t>
      </w:r>
      <w:r>
        <w:rPr>
          <w:rFonts w:ascii="Times New Roman" w:hAnsi="Times New Roman"/>
          <w:b w:val="false"/>
          <w:i w:val="false"/>
          <w:color w:val="000000"/>
          <w:sz w:val="22"/>
        </w:rPr>
        <w:t> </w:t>
      </w:r>
      <w:r>
        <w:rPr>
          <w:rFonts w:ascii="Times New Roman" w:hAnsi="Times New Roman"/>
          <w:b w:val="false"/>
          <w:i/>
          <w:color w:val="000000"/>
          <w:sz w:val="22"/>
        </w:rPr>
        <w:t xml:space="preserve">Answer. </w:t>
      </w:r>
      <w:r>
        <w:rPr>
          <w:rFonts w:ascii="Times New Roman" w:hAnsi="Times New Roman"/>
          <w:b w:val="false"/>
          <w:i w:val="false"/>
          <w:color w:val="000000"/>
          <w:sz w:val="22"/>
        </w:rPr>
        <w:t>An answer shall be filed within 20 days of service of the notice of hearing unless otherwise ordered. A party may move to dismiss or apply for a more definite and detailed statement of the matters asserted or charging document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answer shall show on whose behalf it is filed and specifically admit, deny, or otherwise answer all material allegations of the notice of hearing or accompanying charging document. The answer shall state any facts deemed to show an affirmative defense and contain as many additional defenses as the pleader may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answer shall state the name, address and telephone number of the person filing the answer, the person or entity on whose behalf it is filed, and the attorney representing that person,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allegation in the notice of hearing or accompanying charging document not denied in the answer is considered admitted. The presiding officer may refuse to consider any defense not raised in the answer that could have been raised on the basis of facts known when the answer was filed if any party would be prejudiced.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answer shall be filed with the division pursuant to rule </w:t>
      </w:r>
      <w:hyperlink r:id="rId18">
        <w:r>
          <w:rPr>
            <w:rStyle w:val="Hyperlink"/>
            <w:rFonts w:ascii="Times New Roman" w:hAnsi="Times New Roman"/>
            <w:b w:val="false"/>
            <w:i w:val="false"/>
            <w:color w:val="000000"/>
            <w:sz w:val="22"/>
          </w:rPr>
          <w:t>191—3.12</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Any notice of hearing or other charging document may be amended before a responsive pleading has been filed. Amendments to a notice of hearing or charging document after a responsive pleading has been filed and amendments to an answer may be allowed with the consent of the other parties or in the discretion of the presiding officer who may impose terms or grant a continuance.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w:t>
      </w:r>
      <w:r>
        <w:rPr>
          <w:rFonts w:ascii="Times New Roman" w:hAnsi="Times New Roman"/>
          <w:b w:val="false"/>
          <w:i w:val="false"/>
          <w:color w:val="000000"/>
          <w:sz w:val="22"/>
        </w:rPr>
        <w:t> </w:t>
      </w:r>
      <w:r>
        <w:rPr>
          <w:rFonts w:ascii="Times New Roman" w:hAnsi="Times New Roman"/>
          <w:b w:val="false"/>
          <w:i/>
          <w:color w:val="000000"/>
          <w:sz w:val="22"/>
        </w:rPr>
        <w:t xml:space="preserve">Timing of hearing. </w:t>
      </w:r>
      <w:r>
        <w:rPr>
          <w:rFonts w:ascii="Times New Roman" w:hAnsi="Times New Roman"/>
          <w:b w:val="false"/>
          <w:i w:val="false"/>
          <w:color w:val="000000"/>
          <w:sz w:val="22"/>
        </w:rPr>
        <w:t>The hearing in a contested case proceeding shall be held within 90 days after the commencement of the contested case unless a continuance is granted by the presiding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191—3.6</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is not an administrative law judge, any party wishing to request that the presiding officer assigned to render a proposed decision be an administrative law judge employed by the department of inspections, appeals, and licensing must file a written request with the division within 20 days after service of a notice of hearing identifying or describing the presiding officer as the commissioner or commissioner’s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val="false"/>
          <w:color w:val="000000"/>
          <w:sz w:val="22"/>
        </w:rPr>
        <w:t>The commissioner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Neither the commissioner nor any designee under whose authority the contested case is to take place is a named party to the proceeding or a real party in interest to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law judge with the qualifications identified in subrule </w:t>
      </w:r>
      <w:hyperlink r:id="rId19">
        <w:r>
          <w:rPr>
            <w:rStyle w:val="Hyperlink"/>
            <w:rFonts w:ascii="Times New Roman" w:hAnsi="Times New Roman"/>
            <w:b w:val="false"/>
            <w:i w:val="false"/>
            <w:color w:val="000000"/>
            <w:sz w:val="22"/>
          </w:rPr>
          <w:t>3.6(4)</w:t>
        </w:r>
      </w:hyperlink>
      <w:r>
        <w:rPr>
          <w:rFonts w:ascii="Times New Roman" w:hAnsi="Times New Roman"/>
          <w:b w:val="false"/>
          <w:i w:val="false"/>
          <w:color w:val="000000"/>
          <w:sz w:val="22"/>
        </w:rPr>
        <w:t xml:space="preserve"> is unavailable to hear the case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statute requires the commissioner or designee to serve as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contested case arises from matters asserted pursuant to Iowa Code chapter </w:t>
      </w:r>
      <w:hyperlink r:id="rId20">
        <w:r>
          <w:rPr>
            <w:rStyle w:val="Hyperlink"/>
            <w:rFonts w:ascii="Times New Roman" w:hAnsi="Times New Roman"/>
            <w:b w:val="false"/>
            <w:i w:val="false"/>
            <w:color w:val="000000"/>
            <w:sz w:val="22"/>
          </w:rPr>
          <w:t>507A</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508B</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515G</w:t>
        </w:r>
      </w:hyperlink>
      <w:r>
        <w:rPr>
          <w:rFonts w:ascii="Times New Roman" w:hAnsi="Times New Roman"/>
          <w:b w:val="false"/>
          <w:i w:val="false"/>
          <w:color w:val="000000"/>
          <w:sz w:val="22"/>
        </w:rPr>
        <w:t xml:space="preserve"> or </w:t>
      </w:r>
      <w:hyperlink r:id="rId24">
        <w:r>
          <w:rPr>
            <w:rStyle w:val="Hyperlink"/>
            <w:rFonts w:ascii="Times New Roman" w:hAnsi="Times New Roman"/>
            <w:b w:val="false"/>
            <w:i w:val="false"/>
            <w:color w:val="000000"/>
            <w:sz w:val="22"/>
          </w:rPr>
          <w:t>521A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or designee shall issue a written ruling specifying the grounds for its decision within 20 days after a request for an administrative law judge is filed. If the ruling is contingent upon the availability of an administrative law judge with the qualifications identified in subrule </w:t>
      </w:r>
      <w:hyperlink r:id="rId25">
        <w:r>
          <w:rPr>
            <w:rStyle w:val="Hyperlink"/>
            <w:rFonts w:ascii="Times New Roman" w:hAnsi="Times New Roman"/>
            <w:b w:val="false"/>
            <w:i w:val="false"/>
            <w:color w:val="000000"/>
            <w:sz w:val="22"/>
          </w:rPr>
          <w:t>3.6(4)</w:t>
        </w:r>
      </w:hyperlink>
      <w:r>
        <w:rPr>
          <w:rFonts w:ascii="Times New Roman" w:hAnsi="Times New Roman"/>
          <w:b w:val="false"/>
          <w:i w:val="false"/>
          <w:color w:val="000000"/>
          <w:sz w:val="22"/>
        </w:rPr>
        <w:t>, the parties shall be notified at least ten days prior to hearing if a qualified administrative law judge will not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assigned to act as presiding officer in insurance and securities matters shall be admitted to practice law before the courts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by another provision of law, all rulings by an administrative law judge acting as presiding officer are subject to appeal to the commissioner. A party must seek any available intra-agency appeal in order to exhaust adequate administrative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191—3.7</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the division may exercise discretion to refuse to give effect to such a waiver when the waiver is inconsistent with the public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191—3.8</w:t>
      </w:r>
      <w:r>
        <w:rPr>
          <w:rFonts w:ascii="Times New Roman" w:hAnsi="Times New Roman"/>
          <w:b/>
          <w:i w:val="false"/>
          <w:color w:val="000000"/>
          <w:sz w:val="22"/>
        </w:rPr>
        <w:t xml:space="preserve">(17A) </w:t>
      </w:r>
      <w:r>
        <w:rPr>
          <w:rFonts w:ascii="Times New Roman" w:hAnsi="Times New Roman"/>
          <w:b/>
          <w:i w:val="false"/>
          <w:color w:val="000000"/>
          <w:sz w:val="22"/>
        </w:rPr>
        <w:t xml:space="preserve">Telephone, video, or electronic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resolve preliminary procedural motions by telephone conference, videoconference or other electronic means in which all parties have been afforded notice and an opportunity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on the officer’s own motion or as requested by a party, order hearings or argument to be held by telephone conference, videoconference or other electronic means in which all parties have an opportunity to participate. Any party may call witnesses by telephone conference, videoconference or other electronic means with 14 days’ advance notice to all parties and the presiding officer. Failure of a party to make timely disclosure may result in the disallowance of testimony by telephone conference, videoconference or other electronic means.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contested case, the specific controversy underlying that contested case, another factually related contested case with common disputed facts, or a pending controversy with common disputed facts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factually related contested case with common disputed facts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is (1) a party to the case, or an officer, director or trustee of a party; (2) a lawyer in the case; (3) known to have an interest that could be substantially affected by the outcome of the case; or (4)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that is relayed to assigned investigators, review of another person’s investigative work product in the course of determining whether there is probable cause to initiate a proceeding, or exposure to factual information while performing other agency functions, including fact gathering for purposes other than investigation of the matter that culminates in a contested case. Factual information relevant to the merits of a contested case received by a person who later serves as presiding officer in that case shall be disclosed if required by Iowa Code section </w:t>
      </w:r>
      <w:hyperlink r:id="rId26">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and subrules </w:t>
      </w:r>
      <w:hyperlink r:id="rId27">
        <w:r>
          <w:rPr>
            <w:rStyle w:val="Hyperlink"/>
            <w:rFonts w:ascii="Times New Roman" w:hAnsi="Times New Roman"/>
            <w:b w:val="false"/>
            <w:i w:val="false"/>
            <w:color w:val="000000"/>
            <w:sz w:val="22"/>
          </w:rPr>
          <w:t>3.9(3)</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3.23(8)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that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w:t>
      </w:r>
      <w:r>
        <w:rPr>
          <w:rFonts w:ascii="Times New Roman" w:hAnsi="Times New Roman"/>
          <w:b w:val="false"/>
          <w:i w:val="false"/>
          <w:color w:val="000000"/>
          <w:sz w:val="22"/>
        </w:rPr>
        <w:t> </w:t>
      </w:r>
      <w:r>
        <w:rPr>
          <w:rFonts w:ascii="Times New Roman" w:hAnsi="Times New Roman"/>
          <w:b w:val="false"/>
          <w:i w:val="false"/>
          <w:color w:val="000000"/>
          <w:sz w:val="22"/>
        </w:rPr>
        <w:t xml:space="preserve">To request disqualification of a presiding officer, a party shall file a motion supported by an affidavit pursuant to Iowa Code section </w:t>
      </w:r>
      <w:hyperlink r:id="rId29">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shall be filed as soon as practical after the reason alleged in the motion becomes known to the party. If, during the course of the hearing, a party first becomes aware of evidence of bias or other grounds for disqualification, the party may move for disqualification but shall establish the grounds by the introduction of evidence into the record.</w:t>
      </w:r>
    </w:p>
    <w:p>
      <w:pPr>
        <w:spacing w:before="0" w:after="0"/>
        <w:ind w:left="120"/>
        <w:jc w:val="both"/>
      </w:pPr>
      <w:r>
        <w:rPr>
          <w:rFonts w:ascii="Times New Roman" w:hAnsi="Times New Roman"/>
          <w:b w:val="false"/>
          <w:i w:val="false"/>
          <w:color w:val="000000"/>
          <w:sz w:val="22"/>
        </w:rPr>
        <w:t xml:space="preserve">If the presiding officer determines that disqualification is appropriate, the presiding officer shall withdraw. If the presiding officer determines that withdrawal is not required, the presiding officer shall enter an order to that effect. A party requesting disqualification may seek an interlocutory appeal under rule </w:t>
      </w:r>
      <w:hyperlink r:id="rId30">
        <w:r>
          <w:rPr>
            <w:rStyle w:val="Hyperlink"/>
            <w:rFonts w:ascii="Times New Roman" w:hAnsi="Times New Roman"/>
            <w:b w:val="false"/>
            <w:i w:val="false"/>
            <w:color w:val="000000"/>
            <w:sz w:val="22"/>
          </w:rPr>
          <w:t>191—3.25</w:t>
        </w:r>
      </w:hyperlink>
      <w:r>
        <w:rPr>
          <w:rFonts w:ascii="Times New Roman" w:hAnsi="Times New Roman"/>
          <w:b w:val="false"/>
          <w:i w:val="false"/>
          <w:color w:val="000000"/>
          <w:sz w:val="22"/>
        </w:rPr>
        <w:t xml:space="preserve">(17A) and seek a stay under rule </w:t>
      </w:r>
      <w:hyperlink r:id="rId31">
        <w:r>
          <w:rPr>
            <w:rStyle w:val="Hyperlink"/>
            <w:rFonts w:ascii="Times New Roman" w:hAnsi="Times New Roman"/>
            <w:b w:val="false"/>
            <w:i w:val="false"/>
            <w:color w:val="000000"/>
            <w:sz w:val="22"/>
          </w:rPr>
          <w:t>191—3.29</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191—3.10</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consolidate contested case proceedings where (a) the matters at issue involve common parties or common questions of fact or law, (b) consolidation would expedite and simplify consideration of the issues involved, and (c) 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3.10(2)</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191—3.11</w:t>
      </w:r>
      <w:r>
        <w:rPr>
          <w:rFonts w:ascii="Times New Roman" w:hAnsi="Times New Roman"/>
          <w:b w:val="false"/>
          <w:i w:val="false"/>
          <w:color w:val="000000"/>
          <w:sz w:val="22"/>
        </w:rPr>
        <w:t xml:space="preserve">Reserved. </w:t>
      </w:r>
    </w:p>
    <w:p>
      <w:pPr>
        <w:spacing w:before="0" w:after="0"/>
        <w:ind w:left="120"/>
        <w:jc w:val="both"/>
      </w:pPr>
      <w:r>
        <w:rPr>
          <w:rFonts w:ascii="Times New Roman" w:hAnsi="Times New Roman"/>
          <w:b/>
          <w:i w:val="false"/>
          <w:color w:val="000000"/>
          <w:sz w:val="22"/>
        </w:rPr>
        <w:t>191—3.12</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3.12(1)</w:t>
      </w:r>
      <w:r>
        <w:rPr>
          <w:rFonts w:ascii="Times New Roman" w:hAnsi="Times New Roman"/>
          <w:b w:val="false"/>
          <w:i w:val="false"/>
          <w:color w:val="000000"/>
          <w:sz w:val="22"/>
        </w:rPr>
        <w:t> </w:t>
      </w:r>
      <w:r>
        <w:rPr>
          <w:rFonts w:ascii="Times New Roman" w:hAnsi="Times New Roman"/>
          <w:b w:val="false"/>
          <w:i/>
          <w:color w:val="000000"/>
          <w:sz w:val="22"/>
        </w:rPr>
        <w:t xml:space="preserve">Required service. </w:t>
      </w:r>
      <w:r>
        <w:rPr>
          <w:rFonts w:ascii="Times New Roman" w:hAnsi="Times New Roman"/>
          <w:b w:val="false"/>
          <w:i w:val="false"/>
          <w:color w:val="000000"/>
          <w:sz w:val="22"/>
        </w:rPr>
        <w:t xml:space="preserve">Every pleading, motion, document, or other paper that is filed in a contested case proceeding and every discovery request or response in such a proceeding shall be served upon each of the parties of record to the proceeding, including the person designated as advocate or prosecutor for the division, no later than the time of filing, if filing is required. Except for an application for rehearing as provided in Iowa Code section </w:t>
      </w:r>
      <w:hyperlink r:id="rId32">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3.12(2)</w:t>
      </w:r>
      <w:r>
        <w:rPr>
          <w:rFonts w:ascii="Times New Roman" w:hAnsi="Times New Roman"/>
          <w:b w:val="false"/>
          <w:i w:val="false"/>
          <w:color w:val="000000"/>
          <w:sz w:val="22"/>
        </w:rPr>
        <w:t> </w:t>
      </w:r>
      <w:r>
        <w:rPr>
          <w:rFonts w:ascii="Times New Roman" w:hAnsi="Times New Roman"/>
          <w:b w:val="false"/>
          <w:i/>
          <w:color w:val="000000"/>
          <w:sz w:val="22"/>
        </w:rPr>
        <w:t xml:space="preserve">Methods of service. </w:t>
      </w:r>
      <w:r>
        <w:rPr>
          <w:rFonts w:ascii="Times New Roman" w:hAnsi="Times New Roman"/>
          <w:b w:val="false"/>
          <w:i w:val="false"/>
          <w:color w:val="000000"/>
          <w:sz w:val="22"/>
        </w:rPr>
        <w:t xml:space="preserve">Service upon a party represented by an attorney shall be made upon the attorney of record unless otherwise ordered. Service is made by delivering or mailing a copy to the attorney at the attorney’s last-known mailing address. Service upon an unrepresented party shall be made by delivering or mailing a copy to the party’s last-known mailing address. Service by mail is complete upon mailing, except where otherwise specifically provided by statute, rule, or order. Service may also be made upon a party or attorney by email if the party or attorney consents in writing to be served in that manner in that case. The party or attorney may consent by providing an email address for service to the other party or by filing a document with the division by email as specified in subrule </w:t>
      </w:r>
      <w:hyperlink r:id="rId33">
        <w:r>
          <w:rPr>
            <w:rStyle w:val="Hyperlink"/>
            <w:rFonts w:ascii="Times New Roman" w:hAnsi="Times New Roman"/>
            <w:b w:val="false"/>
            <w:i w:val="false"/>
            <w:color w:val="000000"/>
            <w:sz w:val="22"/>
          </w:rPr>
          <w:t>3.12(4)</w:t>
        </w:r>
      </w:hyperlink>
      <w:r>
        <w:rPr>
          <w:rFonts w:ascii="Times New Roman" w:hAnsi="Times New Roman"/>
          <w:b w:val="false"/>
          <w:i w:val="false"/>
          <w:color w:val="000000"/>
          <w:sz w:val="22"/>
        </w:rPr>
        <w:t>. The consent may be withdrawn by written notice served on all other parties or attorneys. Service by electronic means is complete upon transmission to the provided email address unless the party making service received an electronic rejection or delivery failure.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3.12(3)</w:t>
      </w:r>
      <w:r>
        <w:rPr>
          <w:rFonts w:ascii="Times New Roman" w:hAnsi="Times New Roman"/>
          <w:b w:val="false"/>
          <w:i w:val="false"/>
          <w:color w:val="000000"/>
          <w:sz w:val="22"/>
        </w:rPr>
        <w:t> </w:t>
      </w:r>
      <w:r>
        <w:rPr>
          <w:rFonts w:ascii="Times New Roman" w:hAnsi="Times New Roman"/>
          <w:b w:val="false"/>
          <w:i/>
          <w:color w:val="000000"/>
          <w:sz w:val="22"/>
        </w:rPr>
        <w:t xml:space="preserve">Required filing. </w:t>
      </w:r>
      <w:r>
        <w:rPr>
          <w:rFonts w:ascii="Times New Roman" w:hAnsi="Times New Roman"/>
          <w:b w:val="false"/>
          <w:i w:val="false"/>
          <w:color w:val="000000"/>
          <w:sz w:val="22"/>
        </w:rPr>
        <w:t>After the notice of hearing, all pleadings, motions, and notices of discovery in a contested case proceeding shall be filed with the division’s designated filing clerk. If a contested case is assigned to an administrative law judge with the department of inspections, appeals, and licensing, filing shall be conducted in accordance with the rules of the department of inspections, appeals, and licensing, unless ordered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3.12(4)</w:t>
      </w:r>
      <w:r>
        <w:rPr>
          <w:rFonts w:ascii="Times New Roman" w:hAnsi="Times New Roman"/>
          <w:b w:val="false"/>
          <w:i w:val="false"/>
          <w:color w:val="000000"/>
          <w:sz w:val="22"/>
        </w:rPr>
        <w:t> </w:t>
      </w:r>
      <w:r>
        <w:rPr>
          <w:rFonts w:ascii="Times New Roman" w:hAnsi="Times New Roman"/>
          <w:b w:val="false"/>
          <w:i/>
          <w:color w:val="000000"/>
          <w:sz w:val="22"/>
        </w:rPr>
        <w:t xml:space="preserve">Methods of filing. </w:t>
      </w:r>
      <w:r>
        <w:rPr>
          <w:rFonts w:ascii="Times New Roman" w:hAnsi="Times New Roman"/>
          <w:b w:val="false"/>
          <w:i w:val="false"/>
          <w:color w:val="000000"/>
          <w:sz w:val="22"/>
        </w:rPr>
        <w:t xml:space="preserve">Except where otherwise provided by law, a document is deemed filed at the time it is hand-delivered to the division at the address disclosed in rule </w:t>
      </w:r>
      <w:hyperlink r:id="rId34">
        <w:r>
          <w:rPr>
            <w:rStyle w:val="Hyperlink"/>
            <w:rFonts w:ascii="Times New Roman" w:hAnsi="Times New Roman"/>
            <w:b w:val="false"/>
            <w:i w:val="false"/>
            <w:color w:val="000000"/>
            <w:sz w:val="22"/>
          </w:rPr>
          <w:t>191—1.4</w:t>
        </w:r>
      </w:hyperlink>
      <w:r>
        <w:rPr>
          <w:rFonts w:ascii="Times New Roman" w:hAnsi="Times New Roman"/>
          <w:b w:val="false"/>
          <w:i w:val="false"/>
          <w:color w:val="000000"/>
          <w:sz w:val="22"/>
        </w:rPr>
        <w:t xml:space="preserve">(502,505) during normal business hours, delivered to an established courier service for immediate delivery to that office during normal business hours, mailed by first-class mail or state interoffice mail to that office so long as there is proof of mailing, or emailed to the designated filing clerk at </w:t>
      </w:r>
      <w:hyperlink r:id="rId35">
        <w:r>
          <w:rPr>
            <w:rStyle w:val="Hyperlink"/>
            <w:rFonts w:ascii="Times New Roman" w:hAnsi="Times New Roman"/>
            <w:b w:val="false"/>
            <w:i w:val="false"/>
            <w:color w:val="000000"/>
            <w:sz w:val="22"/>
            <w:u w:val="single"/>
          </w:rPr>
          <w:t>enforcement.filings@iid.iowa.gov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and emailing. </w:t>
      </w:r>
      <w:r>
        <w:rPr>
          <w:rFonts w:ascii="Times New Roman" w:hAnsi="Times New Roman"/>
          <w:b w:val="false"/>
          <w:i w:val="false"/>
          <w:color w:val="000000"/>
          <w:sz w:val="22"/>
        </w:rPr>
        <w:t>Proof of mailing and emailing includes either: a legible United States Postal Service postmark on the envelope, a certificate of service, a notarized affidavit, or 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1905"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 xml:space="preserve">I certify under penalty of perjury and pursuant to the laws of Iowa that, on (date of mailing), I mailed copies of (describe document) addressed to the Insurance Division at the address disclosed in </w:t>
            </w:r>
            <w:hyperlink r:id="rId36">
              <w:r>
                <w:rPr>
                  <w:rStyle w:val="Hyperlink"/>
                  <w:rFonts w:ascii="Times New Roman" w:hAnsi="Times New Roman"/>
                  <w:b w:val="false"/>
                  <w:i w:val="false"/>
                  <w:color w:val="000000"/>
                  <w:sz w:val="21"/>
                </w:rPr>
                <w:t>191—1.4</w:t>
              </w:r>
            </w:hyperlink>
            <w:r>
              <w:rPr>
                <w:rFonts w:ascii="Times New Roman" w:hAnsi="Times New Roman"/>
                <w:b w:val="false"/>
                <w:i w:val="false"/>
                <w:color w:val="000000"/>
                <w:sz w:val="21"/>
              </w:rPr>
              <w:t xml:space="preserve">(502,505) and to the names and addresses of the parties listed below by depositing the same in (a United States post office mailbox with correct postage properly affixed or state interoffice mail). I emailed copies of (describe document) addressed to the Insurance Division at the email address disclosed in subrule </w:t>
            </w:r>
            <w:hyperlink r:id="rId37">
              <w:r>
                <w:rPr>
                  <w:rStyle w:val="Hyperlink"/>
                  <w:rFonts w:ascii="Times New Roman" w:hAnsi="Times New Roman"/>
                  <w:b w:val="false"/>
                  <w:i w:val="false"/>
                  <w:color w:val="000000"/>
                  <w:sz w:val="21"/>
                </w:rPr>
                <w:t>3.12(4)</w:t>
              </w:r>
            </w:hyperlink>
            <w:r>
              <w:rPr>
                <w:rFonts w:ascii="Times New Roman" w:hAnsi="Times New Roman"/>
                <w:b w:val="false"/>
                <w:i w:val="false"/>
                <w:color w:val="000000"/>
                <w:sz w:val="21"/>
              </w:rPr>
              <w:t xml:space="preserve"> and to the names and email addresses of the parties listed below by transmitting the same from (sending email address).</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191—3.13</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3.13(1)</w:t>
      </w:r>
      <w:r>
        <w:rPr>
          <w:rFonts w:ascii="Times New Roman" w:hAnsi="Times New Roman"/>
          <w:b w:val="false"/>
          <w:i w:val="false"/>
          <w:color w:val="000000"/>
          <w:sz w:val="22"/>
        </w:rPr>
        <w:t> </w:t>
      </w:r>
      <w:r>
        <w:rPr>
          <w:rFonts w:ascii="Times New Roman" w:hAnsi="Times New Roman"/>
          <w:b w:val="false"/>
          <w:i/>
          <w:color w:val="000000"/>
          <w:sz w:val="22"/>
        </w:rPr>
        <w:t xml:space="preserve">Discovery permitted. </w:t>
      </w:r>
      <w:r>
        <w:rPr>
          <w:rFonts w:ascii="Times New Roman" w:hAnsi="Times New Roman"/>
          <w:b w:val="false"/>
          <w:i w:val="false"/>
          <w:color w:val="000000"/>
          <w:sz w:val="22"/>
        </w:rPr>
        <w:t>Where statutory time limitations permit, discovery may be conducted as permitted by the Iowa Rules of Civil Procedure and these rules. Discovery shall be conducted in an expedited manner to prevent unnecessary delays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3.13(2)</w:t>
      </w:r>
      <w:r>
        <w:rPr>
          <w:rFonts w:ascii="Times New Roman" w:hAnsi="Times New Roman"/>
          <w:b w:val="false"/>
          <w:i w:val="false"/>
          <w:color w:val="000000"/>
          <w:sz w:val="22"/>
        </w:rPr>
        <w:t> </w:t>
      </w:r>
      <w:r>
        <w:rPr>
          <w:rFonts w:ascii="Times New Roman" w:hAnsi="Times New Roman"/>
          <w:b w:val="false"/>
          <w:i/>
          <w:color w:val="000000"/>
          <w:sz w:val="22"/>
        </w:rPr>
        <w:t xml:space="preserve">Scope of discovery. </w:t>
      </w:r>
      <w:r>
        <w:rPr>
          <w:rFonts w:ascii="Times New Roman" w:hAnsi="Times New Roman"/>
          <w:b w:val="false"/>
          <w:i w:val="false"/>
          <w:color w:val="000000"/>
          <w:sz w:val="22"/>
        </w:rPr>
        <w:t xml:space="preserve">Parties may obtain discovery regarding any matter, not privileged or confidential, which is relevant to the claim or defense of the party in the pending action seeking discovery or to the claim or defense of any other party. Discovery responses are subject to the confidentiality provisions of Iowa Code section </w:t>
      </w:r>
      <w:hyperlink r:id="rId3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chapters under the jurisdiction of the commissioner, and rule </w:t>
      </w:r>
      <w:hyperlink r:id="rId39">
        <w:r>
          <w:rPr>
            <w:rStyle w:val="Hyperlink"/>
            <w:rFonts w:ascii="Times New Roman" w:hAnsi="Times New Roman"/>
            <w:b w:val="false"/>
            <w:i w:val="false"/>
            <w:color w:val="000000"/>
            <w:sz w:val="22"/>
          </w:rPr>
          <w:t>191—3.12</w:t>
        </w:r>
      </w:hyperlink>
      <w:r>
        <w:rPr>
          <w:rFonts w:ascii="Times New Roman" w:hAnsi="Times New Roman"/>
          <w:b w:val="false"/>
          <w:i w:val="false"/>
          <w:color w:val="000000"/>
          <w:sz w:val="22"/>
        </w:rPr>
        <w:t xml:space="preserve">(17A), in accordance with applicable law, including, but not limited to, Iowa Code sections </w:t>
      </w:r>
      <w:hyperlink r:id="rId40">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522B.11(6)</w:t>
        </w:r>
      </w:hyperlink>
      <w:r>
        <w:rPr>
          <w:rFonts w:ascii="Times New Roman" w:hAnsi="Times New Roman"/>
          <w:b w:val="false"/>
          <w:i w:val="false"/>
          <w:color w:val="000000"/>
          <w:sz w:val="22"/>
        </w:rPr>
        <w:t>, unless otherwise permitted by the presiding officer for good cause shown.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3.13(3)</w:t>
      </w:r>
      <w:r>
        <w:rPr>
          <w:rFonts w:ascii="Times New Roman" w:hAnsi="Times New Roman"/>
          <w:b w:val="false"/>
          <w:i w:val="false"/>
          <w:color w:val="000000"/>
          <w:sz w:val="22"/>
        </w:rPr>
        <w:t> </w:t>
      </w:r>
      <w:r>
        <w:rPr>
          <w:rFonts w:ascii="Times New Roman" w:hAnsi="Times New Roman"/>
          <w:b w:val="false"/>
          <w:i/>
          <w:color w:val="000000"/>
          <w:sz w:val="22"/>
        </w:rPr>
        <w:t xml:space="preserve">Notice of discovery. </w:t>
      </w:r>
      <w:r>
        <w:rPr>
          <w:rFonts w:ascii="Times New Roman" w:hAnsi="Times New Roman"/>
          <w:b w:val="false"/>
          <w:i w:val="false"/>
          <w:color w:val="000000"/>
          <w:sz w:val="22"/>
        </w:rPr>
        <w:t xml:space="preserve">Discovery is only permitted after a party has filed, pursuant to rule </w:t>
      </w:r>
      <w:hyperlink r:id="rId42">
        <w:r>
          <w:rPr>
            <w:rStyle w:val="Hyperlink"/>
            <w:rFonts w:ascii="Times New Roman" w:hAnsi="Times New Roman"/>
            <w:b w:val="false"/>
            <w:i w:val="false"/>
            <w:color w:val="000000"/>
            <w:sz w:val="22"/>
          </w:rPr>
          <w:t>191—3.12</w:t>
        </w:r>
      </w:hyperlink>
      <w:r>
        <w:rPr>
          <w:rFonts w:ascii="Times New Roman" w:hAnsi="Times New Roman"/>
          <w:b w:val="false"/>
          <w:i w:val="false"/>
          <w:color w:val="000000"/>
          <w:sz w:val="22"/>
        </w:rPr>
        <w:t>(17A), a notice of discovery no later than 15 days after the filing of an answer unless extended by the presiding officer for good cause shown or by agreement of the parties. The notice of discovery shall be a general notice that the party is serving discovery. The notice should include a statement regarding the type of discovery being conducted and the due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3.13(4)</w:t>
      </w:r>
      <w:r>
        <w:rPr>
          <w:rFonts w:ascii="Times New Roman" w:hAnsi="Times New Roman"/>
          <w:b w:val="false"/>
          <w:i w:val="false"/>
          <w:color w:val="000000"/>
          <w:sz w:val="22"/>
        </w:rPr>
        <w:t> </w:t>
      </w:r>
      <w:r>
        <w:rPr>
          <w:rFonts w:ascii="Times New Roman" w:hAnsi="Times New Roman"/>
          <w:b w:val="false"/>
          <w:i/>
          <w:color w:val="000000"/>
          <w:sz w:val="22"/>
        </w:rPr>
        <w:t xml:space="preserve">Discovery responses. </w:t>
      </w:r>
      <w:r>
        <w:rPr>
          <w:rFonts w:ascii="Times New Roman" w:hAnsi="Times New Roman"/>
          <w:b w:val="false"/>
          <w:i w:val="false"/>
          <w:color w:val="000000"/>
          <w:sz w:val="22"/>
        </w:rPr>
        <w:t>Parties must respond to discovery within 15 days of receipt unless the parties mutually agree there is good cause to lengthen the response period or by order of the presiding officer. Time periods for compliance with discovery may be lengthened or shortened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3.13(5)</w:t>
      </w:r>
      <w:r>
        <w:rPr>
          <w:rFonts w:ascii="Times New Roman" w:hAnsi="Times New Roman"/>
          <w:b w:val="false"/>
          <w:i w:val="false"/>
          <w:color w:val="000000"/>
          <w:sz w:val="22"/>
        </w:rPr>
        <w:t> </w:t>
      </w:r>
      <w:r>
        <w:rPr>
          <w:rFonts w:ascii="Times New Roman" w:hAnsi="Times New Roman"/>
          <w:b w:val="false"/>
          <w:i/>
          <w:color w:val="000000"/>
          <w:sz w:val="22"/>
        </w:rPr>
        <w:t xml:space="preserve">Discovery completion. </w:t>
      </w:r>
      <w:r>
        <w:rPr>
          <w:rFonts w:ascii="Times New Roman" w:hAnsi="Times New Roman"/>
          <w:b w:val="false"/>
          <w:i w:val="false"/>
          <w:color w:val="000000"/>
          <w:sz w:val="22"/>
        </w:rPr>
        <w:t>All discovery must be completed no later than 30 days before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3.13(6)</w:t>
      </w:r>
      <w:r>
        <w:rPr>
          <w:rFonts w:ascii="Times New Roman" w:hAnsi="Times New Roman"/>
          <w:b w:val="false"/>
          <w:i w:val="false"/>
          <w:color w:val="000000"/>
          <w:sz w:val="22"/>
        </w:rPr>
        <w:t> </w:t>
      </w:r>
      <w:r>
        <w:rPr>
          <w:rFonts w:ascii="Times New Roman" w:hAnsi="Times New Roman"/>
          <w:b w:val="false"/>
          <w:i/>
          <w:color w:val="000000"/>
          <w:sz w:val="22"/>
        </w:rPr>
        <w:t xml:space="preserve">Discovery motions. </w:t>
      </w:r>
      <w:r>
        <w:rPr>
          <w:rFonts w:ascii="Times New Roman" w:hAnsi="Times New Roman"/>
          <w:b w:val="false"/>
          <w:i w:val="false"/>
          <w:color w:val="000000"/>
          <w:sz w:val="22"/>
        </w:rPr>
        <w:t xml:space="preserve">Any motion relating to discovery must allege that the moving party has previously made a good-faith attempt to resolve the discovery issues involved with the opposing party in a timely manner. Motions in regard to discovery shall be ruled upon by the presiding officer. Opposing parties shall be afforded the opportunity to respond within ten days of the filing of any such motion unless the time is shortened as provided in subrule </w:t>
      </w:r>
      <w:hyperlink r:id="rId43">
        <w:r>
          <w:rPr>
            <w:rStyle w:val="Hyperlink"/>
            <w:rFonts w:ascii="Times New Roman" w:hAnsi="Times New Roman"/>
            <w:b w:val="false"/>
            <w:i w:val="false"/>
            <w:color w:val="000000"/>
            <w:sz w:val="22"/>
          </w:rPr>
          <w:t>3.13(4)</w:t>
        </w:r>
      </w:hyperlink>
      <w:r>
        <w:rPr>
          <w:rFonts w:ascii="Times New Roman" w:hAnsi="Times New Roman"/>
          <w:b w:val="false"/>
          <w:i w:val="false"/>
          <w:color w:val="000000"/>
          <w:sz w:val="22"/>
        </w:rPr>
        <w:t>. The presiding officer may rule on the basis of the written motion and any response, or may order argument on the motion.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191—3.14</w:t>
      </w:r>
      <w:r>
        <w:rPr>
          <w:rFonts w:ascii="Times New Roman" w:hAnsi="Times New Roman"/>
          <w:b/>
          <w:i w:val="false"/>
          <w:color w:val="000000"/>
          <w:sz w:val="22"/>
        </w:rPr>
        <w:t xml:space="preserve">(17A,505)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3.14(1)</w:t>
      </w:r>
      <w:r>
        <w:rPr>
          <w:rFonts w:ascii="Times New Roman" w:hAnsi="Times New Roman"/>
          <w:b w:val="false"/>
          <w:i w:val="false"/>
          <w:color w:val="000000"/>
          <w:sz w:val="22"/>
        </w:rPr>
        <w:t> </w:t>
      </w:r>
      <w:r>
        <w:rPr>
          <w:rFonts w:ascii="Times New Roman" w:hAnsi="Times New Roman"/>
          <w:b w:val="false"/>
          <w:i w:val="false"/>
          <w:color w:val="000000"/>
          <w:sz w:val="22"/>
        </w:rPr>
        <w:t xml:space="preserve">A subpoena shall be issued by the presiding officer at a party’s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for a subpoena must be in writing and submitted to the presiding officer or designated filing clerk by mail, email, or in-person delivery in accordance with the filing requirements of rule </w:t>
      </w:r>
      <w:hyperlink r:id="rId44">
        <w:r>
          <w:rPr>
            <w:rStyle w:val="Hyperlink"/>
            <w:rFonts w:ascii="Times New Roman" w:hAnsi="Times New Roman"/>
            <w:b w:val="false"/>
            <w:i w:val="false"/>
            <w:color w:val="000000"/>
            <w:sz w:val="22"/>
          </w:rPr>
          <w:t>191—3.12</w:t>
        </w:r>
      </w:hyperlink>
      <w:r>
        <w:rPr>
          <w:rFonts w:ascii="Times New Roman" w:hAnsi="Times New Roman"/>
          <w:b w:val="false"/>
          <w:i w:val="false"/>
          <w:color w:val="000000"/>
          <w:sz w:val="22"/>
        </w:rPr>
        <w:t xml:space="preserve">(17A).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 shall include the names of the parties, the case number, the name and address of the requested witness, and a description or list of any documents or other items requested. The request shall also note the nature of the proceeding at which the witness is requested to testify (e.g., deposition, telephone hearing, or in-person hearing), the date and time of the proceeding, whether the witness is requested to appear in person or by telephone, the location of the proceeding, and the method of recording any deposition.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absence of good cause for permitting later action, a request for a subpoena must be received at least ten days before the scheduled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requesting party is responsible for arranging service of a subpoena prior to the proceeding at which the testimony is commanded or the time at which the requested documents must be produced. The requesting party is responsible for any cost associated with serving a subpoena and for the payment of witness fees and mileage expenses. Subpoenaed witnesses shall be entitled to receive witness fees for attendance, paid pursuant to Iowa Code section </w:t>
      </w:r>
      <w:hyperlink r:id="rId45">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and mileage shall be paid for each mile actually traveled for a subpoenaed witness to participate in an in-person hearing or deposition pursuant to Iowa Code section </w:t>
      </w:r>
      <w:hyperlink r:id="rId46">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Witnesses called to testify only to an opinion founded on special study or experience in any branch of science, or to make scientific or professional examinations and state the result thereof, may receive additional compensation, to be fixed by the presiding officer, with reference to the value of the time employed and the degree of learning or skill required, but such additional compensation shall not exceed the sum set forth in Iowa Code section </w:t>
      </w:r>
      <w:hyperlink r:id="rId47">
        <w:r>
          <w:rPr>
            <w:rStyle w:val="Hyperlink"/>
            <w:rFonts w:ascii="Times New Roman" w:hAnsi="Times New Roman"/>
            <w:b w:val="false"/>
            <w:i w:val="false"/>
            <w:color w:val="000000"/>
            <w:sz w:val="22"/>
          </w:rPr>
          <w:t>622.72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quash or modify a subpoena upon motion as provided in the Iowa Rules of Civil Procedure. A motion to quash or modify a subpoena shall be promptly set for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191—3.15</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must be in writing and must state the grounds for relief and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the presiding officer. In ruling on a motion, the presiding officer may consider the motion unresisted, if no response is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except motions for summary judgment and requests for continuances, must be filed and served at least ten days prior to the date of hearing unless there is good cause for permitting later action or the time for such action is lengthened or shortened by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3.15(5)</w:t>
      </w:r>
      <w:r>
        <w:rPr>
          <w:rFonts w:ascii="Times New Roman" w:hAnsi="Times New Roman"/>
          <w:b w:val="false"/>
          <w:i w:val="false"/>
          <w:color w:val="000000"/>
          <w:sz w:val="22"/>
        </w:rPr>
        <w:t> </w:t>
      </w:r>
      <w:r>
        <w:rPr>
          <w:rFonts w:ascii="Times New Roman" w:hAnsi="Times New Roman"/>
          <w:b w:val="false"/>
          <w:i w:val="false"/>
          <w:color w:val="000000"/>
          <w:sz w:val="22"/>
        </w:rPr>
        <w:t>Motions for summary judgment shall comply with the requirements of Iowa Rule of Civil Procedure 1.981 and shall be subject to disposition according to the requirements of that rule to the extent such requirements are not inconsistent with the provisions of this rule or any other provision of law governing the procedure in contested cases.</w:t>
      </w:r>
    </w:p>
    <w:p>
      <w:pPr>
        <w:spacing w:before="0" w:after="0"/>
        <w:ind w:left="120"/>
        <w:jc w:val="both"/>
      </w:pPr>
      <w:r>
        <w:rPr>
          <w:rFonts w:ascii="Times New Roman" w:hAnsi="Times New Roman"/>
          <w:b w:val="false"/>
          <w:i w:val="false"/>
          <w:color w:val="000000"/>
          <w:sz w:val="22"/>
        </w:rPr>
        <w:t xml:space="preserve">Motions for summary judgment may be filed and served within a reasonable time prior to the hearing, as determined by the presiding officer. Any party resisting the motion shall file and serve a resistance within 15 days from the date a copy of the motion was served unless otherwise ordered by the presiding officer. The time fixed for hearing or nonoral submission shall be not less than 20 days after the filing of the motion unless a shorter time is ordered by the presiding officer. A summary judgment order rendered on all issues in a contested case is subject to rehearing pursuant to rule </w:t>
      </w:r>
      <w:hyperlink r:id="rId48">
        <w:r>
          <w:rPr>
            <w:rStyle w:val="Hyperlink"/>
            <w:rFonts w:ascii="Times New Roman" w:hAnsi="Times New Roman"/>
            <w:b w:val="false"/>
            <w:i w:val="false"/>
            <w:color w:val="000000"/>
            <w:sz w:val="22"/>
          </w:rPr>
          <w:t>191—3.28(17A)</w:t>
        </w:r>
      </w:hyperlink>
      <w:r>
        <w:rPr>
          <w:rFonts w:ascii="Times New Roman" w:hAnsi="Times New Roman"/>
          <w:b w:val="false"/>
          <w:i w:val="false"/>
          <w:color w:val="000000"/>
          <w:sz w:val="22"/>
        </w:rPr>
        <w:t xml:space="preserve"> and appeal pursuant to rule </w:t>
      </w:r>
      <w:hyperlink r:id="rId49">
        <w:r>
          <w:rPr>
            <w:rStyle w:val="Hyperlink"/>
            <w:rFonts w:ascii="Times New Roman" w:hAnsi="Times New Roman"/>
            <w:b w:val="false"/>
            <w:i w:val="false"/>
            <w:color w:val="000000"/>
            <w:sz w:val="22"/>
          </w:rPr>
          <w:t>191—3.27(17A)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191—3.16</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3.16(1)</w:t>
      </w:r>
      <w:r>
        <w:rPr>
          <w:rFonts w:ascii="Times New Roman" w:hAnsi="Times New Roman"/>
          <w:b w:val="false"/>
          <w:i w:val="false"/>
          <w:color w:val="000000"/>
          <w:sz w:val="22"/>
        </w:rPr>
        <w:t> </w:t>
      </w:r>
      <w:r>
        <w:rPr>
          <w:rFonts w:ascii="Times New Roman" w:hAnsi="Times New Roman"/>
          <w:b w:val="false"/>
          <w:i w:val="false"/>
          <w:color w:val="000000"/>
          <w:sz w:val="22"/>
        </w:rPr>
        <w:t>A prehearing conference shall be scheduled not less than seven business days prior to the hearing date. The presiding officer shall give written notice of the prehearing conference to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3.16(2)</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may be conducted by telephone conference or videoconference or in person as stated in the notice of hearing, unless otherwise ordered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3.16(3)</w:t>
      </w:r>
      <w:r>
        <w:rPr>
          <w:rFonts w:ascii="Times New Roman" w:hAnsi="Times New Roman"/>
          <w:b w:val="false"/>
          <w:i w:val="false"/>
          <w:color w:val="000000"/>
          <w:sz w:val="22"/>
        </w:rPr>
        <w:t> </w:t>
      </w:r>
      <w:r>
        <w:rPr>
          <w:rFonts w:ascii="Times New Roman" w:hAnsi="Times New Roman"/>
          <w:b w:val="false"/>
          <w:i w:val="false"/>
          <w:color w:val="000000"/>
          <w:sz w:val="22"/>
        </w:rPr>
        <w:t>Each party shall exchange and receive prior to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list of the witnesses who the party anticipates will testify at hearing. Witnesses not listed may be excluded from testifying unless there was good cause for failure to include their names;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list and copies of exhibits that the party anticipates will be introduced at hearing. Exhibits other than rebuttal exhibits that are not listed may be excluded from admission into evidence unless there was good cause for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3.16(4)</w:t>
      </w:r>
      <w:r>
        <w:rPr>
          <w:rFonts w:ascii="Times New Roman" w:hAnsi="Times New Roman"/>
          <w:b w:val="false"/>
          <w:i w:val="false"/>
          <w:color w:val="000000"/>
          <w:sz w:val="22"/>
        </w:rPr>
        <w:t> </w:t>
      </w:r>
      <w:r>
        <w:rPr>
          <w:rFonts w:ascii="Times New Roman" w:hAnsi="Times New Roman"/>
          <w:b w:val="false"/>
          <w:i w:val="false"/>
          <w:color w:val="000000"/>
          <w:sz w:val="22"/>
        </w:rPr>
        <w:t>Witness or exhibit lists may be amended subsequent to the prehearing conference within time limits established by the presiding officer at the prehearing conference. If no time limits are established at the prehearing conference, subsequent amendments to a witness or exhibit list may be allowed with the consent of the other parties or in the discretion of the presiding officer who may impose terms and time limits. Any such amendments must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3.16(5)</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subrule </w:t>
      </w:r>
      <w:hyperlink r:id="rId50">
        <w:r>
          <w:rPr>
            <w:rStyle w:val="Hyperlink"/>
            <w:rFonts w:ascii="Times New Roman" w:hAnsi="Times New Roman"/>
            <w:b w:val="false"/>
            <w:i w:val="false"/>
            <w:color w:val="000000"/>
            <w:sz w:val="22"/>
          </w:rPr>
          <w:t>3.16(3)</w:t>
        </w:r>
      </w:hyperlink>
      <w:r>
        <w:rPr>
          <w:rFonts w:ascii="Times New Roman" w:hAnsi="Times New Roman"/>
          <w:b w:val="false"/>
          <w:i w:val="false"/>
          <w:color w:val="000000"/>
          <w:sz w:val="22"/>
        </w:rPr>
        <w:t>, 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that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for waiver of any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that will expedite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191—3.17</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shall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3.17(1)</w:t>
      </w:r>
      <w:r>
        <w:rPr>
          <w:rFonts w:ascii="Times New Roman" w:hAnsi="Times New Roman"/>
          <w:b w:val="false"/>
          <w:i w:val="false"/>
          <w:color w:val="000000"/>
          <w:sz w:val="22"/>
        </w:rPr>
        <w:t> </w:t>
      </w:r>
      <w:r>
        <w:rPr>
          <w:rFonts w:ascii="Times New Roman" w:hAnsi="Times New Roman"/>
          <w:b w:val="false"/>
          <w:i w:val="false"/>
          <w:color w:val="000000"/>
          <w:sz w:val="22"/>
        </w:rPr>
        <w:t>An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14 days before the hearing except in case of unanticipated emergencies or consent of all parties,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Failure to timely provide discovery responses;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191—3.18</w:t>
      </w:r>
      <w:r>
        <w:rPr>
          <w:rFonts w:ascii="Times New Roman" w:hAnsi="Times New Roman"/>
          <w:b/>
          <w:i w:val="false"/>
          <w:color w:val="000000"/>
          <w:sz w:val="22"/>
        </w:rPr>
        <w:t xml:space="preserve">(17A)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191—3.19</w:t>
      </w:r>
      <w:r>
        <w:rPr>
          <w:rFonts w:ascii="Times New Roman" w:hAnsi="Times New Roman"/>
          <w:b/>
          <w:i w:val="false"/>
          <w:color w:val="000000"/>
          <w:sz w:val="22"/>
        </w:rPr>
        <w:t xml:space="preserve">(17A,507B)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3.19(1)</w:t>
      </w:r>
      <w:r>
        <w:rPr>
          <w:rFonts w:ascii="Times New Roman" w:hAnsi="Times New Roman"/>
          <w:b w:val="false"/>
          <w:i w:val="false"/>
          <w:color w:val="000000"/>
          <w:sz w:val="22"/>
        </w:rPr>
        <w:t> </w:t>
      </w:r>
      <w:r>
        <w:rPr>
          <w:rFonts w:ascii="Times New Roman" w:hAnsi="Times New Roman"/>
          <w:b w:val="false"/>
          <w:i w:val="false"/>
          <w:color w:val="000000"/>
          <w:sz w:val="22"/>
        </w:rPr>
        <w:t>A motion for leave to intervene in a contested case proceeding shall state the grounds for the proposed intervention, including any statutory grounds, and the position and interest of the proposed intervenor. A proposed answer or petition in intervention shall be attached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3.19(2)</w:t>
      </w:r>
      <w:r>
        <w:rPr>
          <w:rFonts w:ascii="Times New Roman" w:hAnsi="Times New Roman"/>
          <w:b w:val="false"/>
          <w:i w:val="false"/>
          <w:color w:val="000000"/>
          <w:sz w:val="22"/>
        </w:rPr>
        <w:t> </w:t>
      </w:r>
      <w:r>
        <w:rPr>
          <w:rFonts w:ascii="Times New Roman" w:hAnsi="Times New Roman"/>
          <w:b w:val="false"/>
          <w:i w:val="false"/>
          <w:color w:val="000000"/>
          <w:sz w:val="22"/>
        </w:rPr>
        <w:t>Motion for leave to intervene shall be filed as early in the proceeding as possible to avoid adverse impact on existing parties or the conduct of the proceeding. Unless otherwise ordered, a motion for leave to intervene shall be filed before the prehearing conference, if any, or at least 20 days before the date scheduled for hearing. Any later motion must contain a statement of good cause for failure to file in a timely manner. Unless inequitable or unjust, an intervenor shall be bound by any agreement, arrangement, or other matter previously raised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3.19(3)</w:t>
      </w:r>
      <w:r>
        <w:rPr>
          <w:rFonts w:ascii="Times New Roman" w:hAnsi="Times New Roman"/>
          <w:b w:val="false"/>
          <w:i w:val="false"/>
          <w:color w:val="000000"/>
          <w:sz w:val="22"/>
        </w:rPr>
        <w:t> </w:t>
      </w:r>
      <w:r>
        <w:rPr>
          <w:rFonts w:ascii="Times New Roman" w:hAnsi="Times New Roman"/>
          <w:b w:val="false"/>
          <w:i w:val="false"/>
          <w:color w:val="000000"/>
          <w:sz w:val="22"/>
        </w:rPr>
        <w:t>The movant shall demonstrate that (a) intervention would not unduly prolong the proceedings or otherwise prejudice the rights of existing parties; (b) the movant is likely to be aggrieved or adversely affected by a final order in the proceeding; and (c) the interests of the movant are not adequately represented by existing parties; or (d) there exists a statutory right to intervene.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3.19(4)</w:t>
      </w:r>
      <w:r>
        <w:rPr>
          <w:rFonts w:ascii="Times New Roman" w:hAnsi="Times New Roman"/>
          <w:b w:val="false"/>
          <w:i w:val="false"/>
          <w:color w:val="000000"/>
          <w:sz w:val="22"/>
        </w:rPr>
        <w:t> </w:t>
      </w:r>
      <w:r>
        <w:rPr>
          <w:rFonts w:ascii="Times New Roman" w:hAnsi="Times New Roman"/>
          <w:b w:val="false"/>
          <w:i w:val="false"/>
          <w:color w:val="000000"/>
          <w:sz w:val="22"/>
        </w:rPr>
        <w:t>If appropriate, the presiding officer may order consolidation of the petitions and briefs of different parties whose interests are aligned and limit the number of representatives allowed to participate actively in the proceedings. A person granted leave to intervene is a party to the proceeding. The order granting intervention may restrict the issues that may be raised by the intervenor or otherwise condition the intervenor’s participation in the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191—3.20</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3.20(1)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presides at the hearing and may rule on motions, require briefs, issue a proposed decision, and issue such orders and rulings as will ensure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3.20(2)</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the court reporter, or a person otherwise authorized by law and be subject to examination and cross-examination. The presiding officer may limit questioning in a manner consistent with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3.20(3)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maintain the decorum of the hearing and may refuse to admit or may expel a person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3.20(4)</w:t>
      </w:r>
      <w:r>
        <w:rPr>
          <w:rFonts w:ascii="Times New Roman" w:hAnsi="Times New Roman"/>
          <w:b w:val="false"/>
          <w:i w:val="false"/>
          <w:color w:val="000000"/>
          <w:sz w:val="22"/>
        </w:rPr>
        <w:t> </w:t>
      </w:r>
      <w:r>
        <w:rPr>
          <w:rFonts w:ascii="Times New Roman" w:hAnsi="Times New Roman"/>
          <w:b w:val="false"/>
          <w:i w:val="false"/>
          <w:color w:val="000000"/>
          <w:sz w:val="22"/>
        </w:rPr>
        <w:t>Parties have the right to participate and to be represented by an attorney in all hearings or prehearing conferences related to their case. Any party may be represented by an attorney or another person authorized by law, subject to Iowa Court Rule 31.14.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3.20(5)</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3.20(6)</w:t>
      </w:r>
      <w:r>
        <w:rPr>
          <w:rFonts w:ascii="Times New Roman" w:hAnsi="Times New Roman"/>
          <w:b w:val="false"/>
          <w:i w:val="false"/>
          <w:color w:val="000000"/>
          <w:sz w:val="22"/>
        </w:rPr>
        <w:t>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3.20(7)</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 This rule does not authorize exclusion of (1) a party who is a natural person, or (2) an officer or employee of a party that is not a natural person designated as its representative by its attorney, or (3) a person whose presence is shown by a party to be essential to presentation of the cause.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191—3.21</w:t>
      </w:r>
      <w:r>
        <w:rPr>
          <w:rFonts w:ascii="Times New Roman" w:hAnsi="Times New Roman"/>
          <w:b/>
          <w:i w:val="false"/>
          <w:color w:val="000000"/>
          <w:sz w:val="22"/>
        </w:rPr>
        <w:t xml:space="preserve">(17A,507B)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rule on admissibility of evidence and may, where appropriate, take official notice of facts in accordance with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issues as to which the parties received notice prior to the hearing unless the parties waive their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may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be provided to opposing parties no later than the time they are proffered to the presiding officer. 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3.21(5)</w:t>
      </w:r>
      <w:r>
        <w:rPr>
          <w:rFonts w:ascii="Times New Roman" w:hAnsi="Times New Roman"/>
          <w:b w:val="false"/>
          <w:i w:val="false"/>
          <w:color w:val="000000"/>
          <w:sz w:val="22"/>
        </w:rPr>
        <w:t> </w:t>
      </w:r>
      <w:r>
        <w:rPr>
          <w:rFonts w:ascii="Times New Roman" w:hAnsi="Times New Roman"/>
          <w:b w:val="false"/>
          <w:i w:val="false"/>
          <w:color w:val="000000"/>
          <w:sz w:val="22"/>
        </w:rPr>
        <w:t>A party may object to specific evidence. A party may request limits on the scope of any examination or cross-examination. Objections shall be accompanied by a brief statement of the grounds upon which the objections are based. The objection and the ruling on the objection shall be noted in the record. The presiding officer may rule on the objection at the time it is made or may reserve a ruling until the written decision,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191—3.22</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fails to appear or participate in a contested case proceeding after proper service of notice as provided in subrule </w:t>
      </w:r>
      <w:hyperlink r:id="rId51">
        <w:r>
          <w:rPr>
            <w:rStyle w:val="Hyperlink"/>
            <w:rFonts w:ascii="Times New Roman" w:hAnsi="Times New Roman"/>
            <w:b w:val="false"/>
            <w:i w:val="false"/>
            <w:color w:val="000000"/>
            <w:sz w:val="22"/>
          </w:rPr>
          <w:t>3.5(1)</w:t>
        </w:r>
      </w:hyperlink>
      <w:r>
        <w:rPr>
          <w:rFonts w:ascii="Times New Roman" w:hAnsi="Times New Roman"/>
          <w:b w:val="false"/>
          <w:i w:val="false"/>
          <w:color w:val="000000"/>
          <w:sz w:val="22"/>
        </w:rPr>
        <w:t>,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the contested case proceeding and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3.22(3)</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constitute final division action unless one of the following occurs: (1) the presiding officer otherwise orders, (2) a motion to vacate the default decision is filed within 15 days after the date of notification or mailing of the decision in accordance with rule </w:t>
      </w:r>
      <w:hyperlink r:id="rId52">
        <w:r>
          <w:rPr>
            <w:rStyle w:val="Hyperlink"/>
            <w:rFonts w:ascii="Times New Roman" w:hAnsi="Times New Roman"/>
            <w:b w:val="false"/>
            <w:i w:val="false"/>
            <w:color w:val="000000"/>
            <w:sz w:val="22"/>
          </w:rPr>
          <w:t>191—3.12</w:t>
        </w:r>
      </w:hyperlink>
      <w:r>
        <w:rPr>
          <w:rFonts w:ascii="Times New Roman" w:hAnsi="Times New Roman"/>
          <w:b w:val="false"/>
          <w:i w:val="false"/>
          <w:color w:val="000000"/>
          <w:sz w:val="22"/>
        </w:rPr>
        <w:t xml:space="preserve">(17A), or (3) an appeal to the commissioner of a proposed default decision is filed in accordance with rule </w:t>
      </w:r>
      <w:hyperlink r:id="rId53">
        <w:r>
          <w:rPr>
            <w:rStyle w:val="Hyperlink"/>
            <w:rFonts w:ascii="Times New Roman" w:hAnsi="Times New Roman"/>
            <w:b w:val="false"/>
            <w:i w:val="false"/>
            <w:color w:val="000000"/>
            <w:sz w:val="22"/>
          </w:rPr>
          <w:t>191—3.27</w:t>
        </w:r>
      </w:hyperlink>
      <w:r>
        <w:rPr>
          <w:rFonts w:ascii="Times New Roman" w:hAnsi="Times New Roman"/>
          <w:b w:val="false"/>
          <w:i w:val="false"/>
          <w:color w:val="000000"/>
          <w:sz w:val="22"/>
        </w:rPr>
        <w:t>(17A). A motion to vacate must be filed and served on all parties and state all facts relied upon by the moving party which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3.22(5)</w:t>
      </w:r>
      <w:r>
        <w:rPr>
          <w:rFonts w:ascii="Times New Roman" w:hAnsi="Times New Roman"/>
          <w:b w:val="false"/>
          <w:i w:val="false"/>
          <w:color w:val="000000"/>
          <w:sz w:val="22"/>
        </w:rPr>
        <w:t> </w:t>
      </w:r>
      <w:r>
        <w:rPr>
          <w:rFonts w:ascii="Times New Roman" w:hAnsi="Times New Roman"/>
          <w:b w:val="false"/>
          <w:i w:val="false"/>
          <w:color w:val="000000"/>
          <w:sz w:val="22"/>
        </w:rPr>
        <w:t>A motion to vacate shall be granted only when it is timely filed, is properly substantiated, and demonstrates good cause for the party’s failure to appear or participate. The burden of proof as to good cause is on the moving party. Adverse parties shall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3.22(6)</w:t>
      </w:r>
      <w:r>
        <w:rPr>
          <w:rFonts w:ascii="Times New Roman" w:hAnsi="Times New Roman"/>
          <w:b w:val="false"/>
          <w:i w:val="false"/>
          <w:color w:val="000000"/>
          <w:sz w:val="22"/>
        </w:rPr>
        <w:t> </w:t>
      </w:r>
      <w:r>
        <w:rPr>
          <w:rFonts w:ascii="Times New Roman" w:hAnsi="Times New Roman"/>
          <w:b w:val="false"/>
          <w:i w:val="false"/>
          <w:color w:val="000000"/>
          <w:sz w:val="22"/>
        </w:rPr>
        <w:t xml:space="preserve">“Good cause” for purposes of this rule shall have the same meaning as “good cause” for setting aside a default judgment under Iowa </w:t>
      </w:r>
      <w:r>
        <w:rPr>
          <w:rFonts w:ascii="Times New Roman" w:hAnsi="Times New Roman"/>
          <w:b w:val="false"/>
          <w:i w:val="false"/>
          <w:color w:val="000000"/>
          <w:sz w:val="22"/>
        </w:rPr>
        <w:t>Rule of Civil Procedure 1.977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3.22(7)</w:t>
      </w:r>
      <w:r>
        <w:rPr>
          <w:rFonts w:ascii="Times New Roman" w:hAnsi="Times New Roman"/>
          <w:b w:val="false"/>
          <w:i w:val="false"/>
          <w:color w:val="000000"/>
          <w:sz w:val="22"/>
        </w:rPr>
        <w:t> </w:t>
      </w:r>
      <w:r>
        <w:rPr>
          <w:rFonts w:ascii="Times New Roman" w:hAnsi="Times New Roman"/>
          <w:b w:val="false"/>
          <w:i w:val="false"/>
          <w:color w:val="000000"/>
          <w:sz w:val="22"/>
        </w:rPr>
        <w:t>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rule 191—</w:t>
      </w:r>
      <w:hyperlink r:id="rId54">
        <w:r>
          <w:rPr>
            <w:rStyle w:val="Hyperlink"/>
            <w:rFonts w:ascii="Times New Roman" w:hAnsi="Times New Roman"/>
            <w:b w:val="false"/>
            <w:i w:val="false"/>
            <w:color w:val="000000"/>
            <w:sz w:val="22"/>
          </w:rPr>
          <w:t>3.25(17A)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schedule another hearing on the merits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3.22(9)</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award any relief authorized by statute or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3.22(10)</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provide either that the default decision is to be stayed pending a timely motion to vacate or that the default decision is to take effect immediately, subject to a request for stay under rule 191—</w:t>
      </w:r>
      <w:hyperlink r:id="rId55">
        <w:r>
          <w:rPr>
            <w:rStyle w:val="Hyperlink"/>
            <w:rFonts w:ascii="Times New Roman" w:hAnsi="Times New Roman"/>
            <w:b w:val="false"/>
            <w:i w:val="false"/>
            <w:color w:val="000000"/>
            <w:sz w:val="22"/>
          </w:rPr>
          <w:t>3.29(17A)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191—3.23</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required for the disposition of ex parte matters specifically, through communication either written, oral, or other forms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This does not prohibit persons jointly assigned such tasks from communicating with each other. Nothing in this provision is intended to preclude the presiding officer from communicating with members of the division or seeking the advice or help of persons other than those with a personal interest in, or those engaged in personally investigating as defined in subrule </w:t>
      </w:r>
      <w:hyperlink r:id="rId56">
        <w:r>
          <w:rPr>
            <w:rStyle w:val="Hyperlink"/>
            <w:rFonts w:ascii="Times New Roman" w:hAnsi="Times New Roman"/>
            <w:b w:val="false"/>
            <w:i w:val="false"/>
            <w:color w:val="000000"/>
            <w:sz w:val="22"/>
          </w:rPr>
          <w:t>3.9(2)</w:t>
        </w:r>
      </w:hyperlink>
      <w:r>
        <w:rPr>
          <w:rFonts w:ascii="Times New Roman" w:hAnsi="Times New Roman"/>
          <w:b w:val="false"/>
          <w:i w:val="false"/>
          <w:color w:val="000000"/>
          <w:sz w:val="22"/>
        </w:rPr>
        <w:t>,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3.23(3)</w:t>
      </w:r>
      <w:r>
        <w:rPr>
          <w:rFonts w:ascii="Times New Roman" w:hAnsi="Times New Roman"/>
          <w:b w:val="false"/>
          <w:i w:val="false"/>
          <w:color w:val="000000"/>
          <w:sz w:val="22"/>
        </w:rPr>
        <w:t> </w:t>
      </w:r>
      <w:r>
        <w:rPr>
          <w:rFonts w:ascii="Times New Roman" w:hAnsi="Times New Roman"/>
          <w:b w:val="false"/>
          <w:i w:val="false"/>
          <w:color w:val="000000"/>
          <w:sz w:val="22"/>
        </w:rPr>
        <w:t>To avoid prohibited ex parte communications, notice must be given in a manner reasonably calculated to give all parties a fair opportunity to participate. Notice of written communications shall be provided in compliance with rule 191—</w:t>
      </w:r>
      <w:hyperlink r:id="rId57">
        <w:r>
          <w:rPr>
            <w:rStyle w:val="Hyperlink"/>
            <w:rFonts w:ascii="Times New Roman" w:hAnsi="Times New Roman"/>
            <w:b w:val="false"/>
            <w:i w:val="false"/>
            <w:color w:val="000000"/>
            <w:sz w:val="22"/>
          </w:rPr>
          <w:t>3.12</w:t>
        </w:r>
      </w:hyperlink>
      <w:r>
        <w:rPr>
          <w:rFonts w:ascii="Times New Roman" w:hAnsi="Times New Roman"/>
          <w:b w:val="false"/>
          <w:i w:val="false"/>
          <w:color w:val="000000"/>
          <w:sz w:val="22"/>
        </w:rPr>
        <w:t>(17A) and may be supplemented by telephone, facsimile, email or other means of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3.23(4)</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3.23(5)</w:t>
      </w:r>
      <w:r>
        <w:rPr>
          <w:rFonts w:ascii="Times New Roman" w:hAnsi="Times New Roman"/>
          <w:b w:val="false"/>
          <w:i w:val="false"/>
          <w:color w:val="000000"/>
          <w:sz w:val="22"/>
        </w:rPr>
        <w:t> </w:t>
      </w:r>
      <w:r>
        <w:rPr>
          <w:rFonts w:ascii="Times New Roman" w:hAnsi="Times New Roman"/>
          <w:b w:val="false"/>
          <w:i w:val="false"/>
          <w:color w:val="000000"/>
          <w:sz w:val="22"/>
        </w:rPr>
        <w:t>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 pursuant to rule 191—</w:t>
      </w:r>
      <w:hyperlink r:id="rId58">
        <w:r>
          <w:rPr>
            <w:rStyle w:val="Hyperlink"/>
            <w:rFonts w:ascii="Times New Roman" w:hAnsi="Times New Roman"/>
            <w:b w:val="false"/>
            <w:i w:val="false"/>
            <w:color w:val="000000"/>
            <w:sz w:val="22"/>
          </w:rPr>
          <w:t>3.16</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3.23(6)</w:t>
      </w:r>
      <w:r>
        <w:rPr>
          <w:rFonts w:ascii="Times New Roman" w:hAnsi="Times New Roman"/>
          <w:b w:val="false"/>
          <w:i w:val="false"/>
          <w:color w:val="000000"/>
          <w:sz w:val="22"/>
        </w:rPr>
        <w:t> </w:t>
      </w:r>
      <w:r>
        <w:rPr>
          <w:rFonts w:ascii="Times New Roman" w:hAnsi="Times New Roman"/>
          <w:b w:val="false"/>
          <w:i w:val="false"/>
          <w:color w:val="000000"/>
          <w:sz w:val="22"/>
        </w:rPr>
        <w:t>A presiding officer who receives a prohibited ex parte communication during the pendency of a contested case must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either under seal by protective order or in the public file, at the discretion of the presiding officer. 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3.23(7)</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59">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division. Violation of ex parte communication prohibitions by division personnel shall be reported to the first deputy commissioner or designee for possible sanctions including censure, suspension, dismissal or other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191—3.24</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the presiding officer with notice to all parties shall provide a copy of the whole or any portion of the record at a reasonable cost. The cost of preparing a copy of the record or of transcribing the hearing record shall be paid by the requesting party. Parties who request that a hearing be recorded by certified shorthand reporters rather than by electronic means shall bear the cost of that recordation, unless otherwise provided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191—3.25</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commissioner or designee may review an interlocutory order of the presiding officer. In determining whether to do so, the commissioner or designee shall weigh the extent to which granting the interlocutory appeal would expedite final resolution of the case and the extent to which review of that interlocutory order at the time the proposed decision of the presiding officer is reviewed would provide an adequate remedy. Any request for interlocutory review must be filed within 14 days of issuance of the challenged order, but no later than the time for compliance with the order or the date of hearing, whichever is first.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191—3.26</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3.26(1)</w:t>
      </w:r>
      <w:r>
        <w:rPr>
          <w:rFonts w:ascii="Times New Roman" w:hAnsi="Times New Roman"/>
          <w:b w:val="false"/>
          <w:i w:val="false"/>
          <w:color w:val="000000"/>
          <w:sz w:val="22"/>
        </w:rPr>
        <w:t> </w:t>
      </w:r>
      <w:r>
        <w:rPr>
          <w:rFonts w:ascii="Times New Roman" w:hAnsi="Times New Roman"/>
          <w:b w:val="false"/>
          <w:i w:val="false"/>
          <w:color w:val="000000"/>
          <w:sz w:val="22"/>
        </w:rPr>
        <w:t>When the commissioner presides over the reception of evidence at the hearing, the commissioner’s decision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commissioner does not preside over the reception of evidence, the presiding officer shall make a proposed decision. The proposed decision becomes the final decision of the division when adopted by the commissioner or without further proceedings after the time provided in rule </w:t>
      </w:r>
      <w:hyperlink r:id="rId60">
        <w:r>
          <w:rPr>
            <w:rStyle w:val="Hyperlink"/>
            <w:rFonts w:ascii="Times New Roman" w:hAnsi="Times New Roman"/>
            <w:b w:val="false"/>
            <w:i w:val="false"/>
            <w:color w:val="000000"/>
            <w:sz w:val="22"/>
          </w:rPr>
          <w:t>191—3.27</w:t>
        </w:r>
      </w:hyperlink>
      <w:r>
        <w:rPr>
          <w:rFonts w:ascii="Times New Roman" w:hAnsi="Times New Roman"/>
          <w:b w:val="false"/>
          <w:i w:val="false"/>
          <w:color w:val="000000"/>
          <w:sz w:val="22"/>
        </w:rPr>
        <w:t>(17A) unless there is a timely appeal to the commissioner or motion by the division to review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officer’s decision shall specify in bold print either that the decision is final or that the decision shall become final without further proceedings after the time provided in rule </w:t>
      </w:r>
      <w:hyperlink r:id="rId61">
        <w:r>
          <w:rPr>
            <w:rStyle w:val="Hyperlink"/>
            <w:rFonts w:ascii="Times New Roman" w:hAnsi="Times New Roman"/>
            <w:b w:val="false"/>
            <w:i w:val="false"/>
            <w:color w:val="000000"/>
            <w:sz w:val="22"/>
          </w:rPr>
          <w:t>191—3.27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3.26(4)</w:t>
      </w:r>
      <w:r>
        <w:rPr>
          <w:rFonts w:ascii="Times New Roman" w:hAnsi="Times New Roman"/>
          <w:b w:val="false"/>
          <w:i w:val="false"/>
          <w:color w:val="000000"/>
          <w:sz w:val="22"/>
        </w:rPr>
        <w:t> </w:t>
      </w:r>
      <w:r>
        <w:rPr>
          <w:rFonts w:ascii="Times New Roman" w:hAnsi="Times New Roman"/>
          <w:b w:val="false"/>
          <w:i w:val="false"/>
          <w:color w:val="000000"/>
          <w:sz w:val="22"/>
        </w:rPr>
        <w:t>Any administrative law judge serving as a presiding officer in a contested case shall report to the commissioner on a monthly basis all matters taken under advisement for longer than 60 days, together with an explanation of the reasons for the delay and an expected date of a proposed decision. A matter shall be reported when all hearings have been completed and the matter awaits decision without further appearance of the parties or their attorneys, even though briefs or transcripts have been ordered but have not yet been filed. The report shall be due on the tenth day of each calendar month for the period ending with the last day of the preceding calendar month. The report shall be signed by the administrative law judge. All reports received will be filed with the Iowa insurance division as records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3.26(5)</w:t>
      </w:r>
      <w:r>
        <w:rPr>
          <w:rFonts w:ascii="Times New Roman" w:hAnsi="Times New Roman"/>
          <w:b w:val="false"/>
          <w:i w:val="false"/>
          <w:color w:val="000000"/>
          <w:sz w:val="22"/>
        </w:rPr>
        <w:t> </w:t>
      </w:r>
      <w:r>
        <w:rPr>
          <w:rFonts w:ascii="Times New Roman" w:hAnsi="Times New Roman"/>
          <w:b w:val="false"/>
          <w:i w:val="false"/>
          <w:color w:val="000000"/>
          <w:sz w:val="22"/>
        </w:rPr>
        <w:t xml:space="preserve">Parties shall be promptly notified of each proposed or final decision or order by delivery to them of a copy of such decision or order in the manner provided by Iowa Code section </w:t>
      </w:r>
      <w:hyperlink r:id="rId62">
        <w:r>
          <w:rPr>
            <w:rStyle w:val="Hyperlink"/>
            <w:rFonts w:ascii="Times New Roman" w:hAnsi="Times New Roman"/>
            <w:b w:val="false"/>
            <w:i w:val="false"/>
            <w:color w:val="000000"/>
            <w:sz w:val="22"/>
          </w:rPr>
          <w:t>17A.12(1)</w:t>
        </w:r>
      </w:hyperlink>
      <w:r>
        <w:rPr>
          <w:rFonts w:ascii="Times New Roman" w:hAnsi="Times New Roman"/>
          <w:b w:val="false"/>
          <w:i w:val="false"/>
          <w:color w:val="000000"/>
          <w:sz w:val="22"/>
        </w:rPr>
        <w:t xml:space="preserve"> unless the party has consented to an alternative form of delivery.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191—3.27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by the commissioner of proposed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3.27(1)</w:t>
      </w:r>
      <w:r>
        <w:rPr>
          <w:rFonts w:ascii="Times New Roman" w:hAnsi="Times New Roman"/>
          <w:b w:val="false"/>
          <w:i w:val="false"/>
          <w:color w:val="000000"/>
          <w:sz w:val="22"/>
        </w:rPr>
        <w:t> </w:t>
      </w:r>
      <w:r>
        <w:rPr>
          <w:rFonts w:ascii="Times New Roman" w:hAnsi="Times New Roman"/>
          <w:b w:val="false"/>
          <w:i w:val="false"/>
          <w:color w:val="000000"/>
          <w:sz w:val="22"/>
        </w:rPr>
        <w:t>Any adversely affected party may appeal a proposed decision to the commissioner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3.27(2)</w:t>
      </w:r>
      <w:r>
        <w:rPr>
          <w:rFonts w:ascii="Times New Roman" w:hAnsi="Times New Roman"/>
          <w:b w:val="false"/>
          <w:i w:val="false"/>
          <w:color w:val="000000"/>
          <w:sz w:val="22"/>
        </w:rPr>
        <w:t> </w:t>
      </w:r>
      <w:r>
        <w:rPr>
          <w:rFonts w:ascii="Times New Roman" w:hAnsi="Times New Roman"/>
          <w:b w:val="false"/>
          <w:i w:val="false"/>
          <w:color w:val="000000"/>
          <w:sz w:val="22"/>
        </w:rPr>
        <w:t>The division may initiate review of a proposed decision on its own motion at any time within 30 days following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3.27(3)</w:t>
      </w:r>
      <w:r>
        <w:rPr>
          <w:rFonts w:ascii="Times New Roman" w:hAnsi="Times New Roman"/>
          <w:b w:val="false"/>
          <w:i w:val="false"/>
          <w:color w:val="000000"/>
          <w:sz w:val="22"/>
        </w:rPr>
        <w:t> </w:t>
      </w:r>
      <w:r>
        <w:rPr>
          <w:rFonts w:ascii="Times New Roman" w:hAnsi="Times New Roman"/>
          <w:b w:val="false"/>
          <w:i w:val="false"/>
          <w:color w:val="000000"/>
          <w:sz w:val="22"/>
        </w:rPr>
        <w:t>An appeal of a proposed decision is initiated by filing a timely notice of appeal with the commissioner. The notice of appeal must be signed by the appealing party or a representative of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grounds for relief;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3.27(4)</w:t>
      </w:r>
      <w:r>
        <w:rPr>
          <w:rFonts w:ascii="Times New Roman" w:hAnsi="Times New Roman"/>
          <w:b w:val="false"/>
          <w:i w:val="false"/>
          <w:color w:val="000000"/>
          <w:sz w:val="22"/>
        </w:rPr>
        <w:t> </w:t>
      </w:r>
      <w:r>
        <w:rPr>
          <w:rFonts w:ascii="Times New Roman" w:hAnsi="Times New Roman"/>
          <w:b w:val="false"/>
          <w:i w:val="false"/>
          <w:color w:val="000000"/>
          <w:sz w:val="22"/>
        </w:rPr>
        <w:t>On appeal from a proposed decision of a presiding officer, the issues shall be limited to those raised before the presiding officer. No new issues will be considered for the first time on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3.27(5)</w:t>
      </w:r>
      <w:r>
        <w:rPr>
          <w:rFonts w:ascii="Times New Roman" w:hAnsi="Times New Roman"/>
          <w:b w:val="false"/>
          <w:i w:val="false"/>
          <w:color w:val="000000"/>
          <w:sz w:val="22"/>
        </w:rPr>
        <w:t> </w:t>
      </w:r>
      <w:r>
        <w:rPr>
          <w:rFonts w:ascii="Times New Roman" w:hAnsi="Times New Roman"/>
          <w:b w:val="false"/>
          <w:i w:val="false"/>
          <w:color w:val="000000"/>
          <w:sz w:val="22"/>
        </w:rPr>
        <w:t>On appeal, a party may request the taking of additional evidence only by establishing that the evidence is material, that good cause existed for failure to present the evidence at the hearing, and that the party has not waived the right to present the evidence. A written request to present additional evidence must be filed with the notice of appeal or, by a nonappealing party, within ten days of service of the notice of appeal. The commissioner may remand a case to the presiding officer for further hearing or the commissioner may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3.27(6)</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3.27(7)</w:t>
      </w:r>
      <w:r>
        <w:rPr>
          <w:rFonts w:ascii="Times New Roman" w:hAnsi="Times New Roman"/>
          <w:b w:val="false"/>
          <w:i w:val="false"/>
          <w:color w:val="000000"/>
          <w:sz w:val="22"/>
        </w:rPr>
        <w:t>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shall cite any applicable legal authority and specify relevant portions of the record in that proceeding. Any written requests to present oral argument shall be filed with the briefs. The commissioner may resolve the appeal on the briefs or provide an opportunity for oral argument. The commissioner may shorten or extend the briefing period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191—3.28</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3.28(1)</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for rehearing shall state on whose behalf it is filed, the specific grounds for rehearing, and the relief sought. In addition, the application shall state whether the applicant desires reconsideration of all or part of the division decision on the existing record and whether, on the basis of the grounds enumerated in subrule </w:t>
      </w:r>
      <w:hyperlink r:id="rId63">
        <w:r>
          <w:rPr>
            <w:rStyle w:val="Hyperlink"/>
            <w:rFonts w:ascii="Times New Roman" w:hAnsi="Times New Roman"/>
            <w:b w:val="false"/>
            <w:i w:val="false"/>
            <w:color w:val="000000"/>
            <w:sz w:val="22"/>
          </w:rPr>
          <w:t>3.27(5)</w:t>
        </w:r>
      </w:hyperlink>
      <w:r>
        <w:rPr>
          <w:rFonts w:ascii="Times New Roman" w:hAnsi="Times New Roman"/>
          <w:b w:val="false"/>
          <w:i w:val="false"/>
          <w:color w:val="000000"/>
          <w:sz w:val="22"/>
        </w:rPr>
        <w:t>,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3.28(3)</w:t>
      </w:r>
      <w:r>
        <w:rPr>
          <w:rFonts w:ascii="Times New Roman" w:hAnsi="Times New Roman"/>
          <w:b w:val="false"/>
          <w:i w:val="false"/>
          <w:color w:val="000000"/>
          <w:sz w:val="22"/>
        </w:rPr>
        <w:t> </w:t>
      </w:r>
      <w:r>
        <w:rPr>
          <w:rFonts w:ascii="Times New Roman" w:hAnsi="Times New Roman"/>
          <w:b w:val="false"/>
          <w:i w:val="false"/>
          <w:color w:val="000000"/>
          <w:sz w:val="22"/>
        </w:rPr>
        <w:t>The application shall be filed with the commissioner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3.28(4)</w:t>
      </w:r>
      <w:r>
        <w:rPr>
          <w:rFonts w:ascii="Times New Roman" w:hAnsi="Times New Roman"/>
          <w:b w:val="false"/>
          <w:i w:val="false"/>
          <w:color w:val="000000"/>
          <w:sz w:val="22"/>
        </w:rPr>
        <w:t> </w:t>
      </w:r>
      <w:r>
        <w:rPr>
          <w:rFonts w:ascii="Times New Roman" w:hAnsi="Times New Roman"/>
          <w:b w:val="false"/>
          <w:i w:val="false"/>
          <w:color w:val="000000"/>
          <w:sz w:val="22"/>
        </w:rPr>
        <w:t>A copy of the application shall be timely mailed by the division to all parties of record not joining therein if the application does not contain a certificate of service demonstrating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3.28(5)</w:t>
      </w:r>
      <w:r>
        <w:rPr>
          <w:rFonts w:ascii="Times New Roman" w:hAnsi="Times New Roman"/>
          <w:b w:val="false"/>
          <w:i w:val="false"/>
          <w:color w:val="000000"/>
          <w:sz w:val="22"/>
        </w:rPr>
        <w:t> </w:t>
      </w:r>
      <w:r>
        <w:rPr>
          <w:rFonts w:ascii="Times New Roman" w:hAnsi="Times New Roman"/>
          <w:b w:val="false"/>
          <w:i w:val="false"/>
          <w:color w:val="000000"/>
          <w:sz w:val="22"/>
        </w:rPr>
        <w:t>Any application for a rehearing shall be deemed denied unless the commissioner grants the application within 20 days after its filing.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191—3.29</w:t>
      </w:r>
      <w:r>
        <w:rPr>
          <w:rFonts w:ascii="Times New Roman" w:hAnsi="Times New Roman"/>
          <w:b/>
          <w:i w:val="false"/>
          <w:color w:val="000000"/>
          <w:sz w:val="22"/>
        </w:rPr>
        <w:t xml:space="preserve">(17A) </w:t>
      </w:r>
      <w:r>
        <w:rPr>
          <w:rFonts w:ascii="Times New Roman" w:hAnsi="Times New Roman"/>
          <w:b/>
          <w:i w:val="false"/>
          <w:color w:val="000000"/>
          <w:sz w:val="22"/>
        </w:rPr>
        <w:t xml:space="preserve">Stay of division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3.29(1)</w:t>
      </w:r>
      <w:r>
        <w:rPr>
          <w:rFonts w:ascii="Times New Roman" w:hAnsi="Times New Roman"/>
          <w:b w:val="false"/>
          <w:i w:val="false"/>
          <w:color w:val="000000"/>
          <w:sz w:val="22"/>
        </w:rPr>
        <w:t> </w:t>
      </w:r>
      <w:r>
        <w:rPr>
          <w:rFonts w:ascii="Times New Roman" w:hAnsi="Times New Roman"/>
          <w:b w:val="false"/>
          <w:i w:val="false"/>
          <w:color w:val="000000"/>
          <w:sz w:val="22"/>
        </w:rPr>
        <w:t>Petition requirements for stay of division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commissioner for a stay of an order issued in that proceeding or for other temporary remedies, pending review by the division. The petition shall be filed with the notice of appeal and shall state the reasons justifying a stay or other temporary remedy. The commissioner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commissioner for a stay or other temporary remedy pending judicial review of all or part of that proceeding.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3.29(2)</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whether to grant a stay, the presiding officer or commissioner shall consider the factors listed in Iowa Code section </w:t>
      </w:r>
      <w:hyperlink r:id="rId64">
        <w:r>
          <w:rPr>
            <w:rStyle w:val="Hyperlink"/>
            <w:rFonts w:ascii="Times New Roman" w:hAnsi="Times New Roman"/>
            <w:b w:val="false"/>
            <w:i w:val="false"/>
            <w:color w:val="000000"/>
            <w:sz w:val="22"/>
          </w:rPr>
          <w:t>17A.19(5)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3.29(3)</w:t>
      </w:r>
      <w:r>
        <w:rPr>
          <w:rFonts w:ascii="Times New Roman" w:hAnsi="Times New Roman"/>
          <w:b w:val="false"/>
          <w:i w:val="false"/>
          <w:color w:val="000000"/>
          <w:sz w:val="22"/>
        </w:rPr>
        <w:t> </w:t>
      </w:r>
      <w:r>
        <w:rPr>
          <w:rFonts w:ascii="Times New Roman" w:hAnsi="Times New Roman"/>
          <w:b w:val="false"/>
          <w:i w:val="false"/>
          <w:color w:val="000000"/>
          <w:sz w:val="22"/>
        </w:rPr>
        <w:t>Any petition for stay of division action shall be deemed denied unless the commissioner grants the application within 20 days after its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3.29(4)</w:t>
      </w:r>
      <w:r>
        <w:rPr>
          <w:rFonts w:ascii="Times New Roman" w:hAnsi="Times New Roman"/>
          <w:b w:val="false"/>
          <w:i w:val="false"/>
          <w:color w:val="000000"/>
          <w:sz w:val="22"/>
        </w:rPr>
        <w:t> </w:t>
      </w:r>
      <w:r>
        <w:rPr>
          <w:rFonts w:ascii="Times New Roman" w:hAnsi="Times New Roman"/>
          <w:b w:val="false"/>
          <w:i w:val="false"/>
          <w:color w:val="000000"/>
          <w:sz w:val="22"/>
        </w:rPr>
        <w:t>A stay may be vacated by the issuing authority upon application of the commissioner or any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191—3.30</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is practicable.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191—3.31</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3.31(1)</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division may issue a written order in compliance with Iowa Code section </w:t>
      </w:r>
      <w:hyperlink r:id="rId65">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to suspend a license in whole or in part, order the cessation of any continuing activity, order affirmative action, or take other action within the jurisdiction of the division by emergency adjudicative order. Before issuing an emergency adjudicative order, the division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division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that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insurance division is necessary to avoid the immediate danger;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proposed emergency adjudicative order is sufficiently limited in scope and narrowly tailored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3.31(2)</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shall contain findings of fact, conclusions of law, and policy reasons to justify the determination of an immediate danger in the division’s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written emergency adjudicative order shall be immediately delivered to persons who are required to comply with the order by utilizing the procedures specified in subrule </w:t>
      </w:r>
      <w:hyperlink r:id="rId66">
        <w:r>
          <w:rPr>
            <w:rStyle w:val="Hyperlink"/>
            <w:rFonts w:ascii="Times New Roman" w:hAnsi="Times New Roman"/>
            <w:b w:val="false"/>
            <w:i w:val="false"/>
            <w:color w:val="000000"/>
            <w:sz w:val="22"/>
          </w:rPr>
          <w:t>3.5(1)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practical, the division shall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3.31(3)</w:t>
      </w:r>
      <w:r>
        <w:rPr>
          <w:rFonts w:ascii="Times New Roman" w:hAnsi="Times New Roman"/>
          <w:b w:val="false"/>
          <w:i w:val="false"/>
          <w:color w:val="000000"/>
          <w:sz w:val="22"/>
        </w:rPr>
        <w:t> </w:t>
      </w:r>
      <w:r>
        <w:rPr>
          <w:rFonts w:ascii="Times New Roman" w:hAnsi="Times New Roman"/>
          <w:b w:val="false"/>
          <w:i w:val="false"/>
          <w:color w:val="000000"/>
          <w:sz w:val="22"/>
        </w:rPr>
        <w:t>Unless the written emergency adjudicative order is provided by personal delivery on the same day that the order issues, the division shall make reasonable, immediate efforts to contact by telephone the persons who are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3.31(4)</w:t>
      </w:r>
      <w:r>
        <w:rPr>
          <w:rFonts w:ascii="Times New Roman" w:hAnsi="Times New Roman"/>
          <w:b w:val="false"/>
          <w:i w:val="false"/>
          <w:color w:val="000000"/>
          <w:sz w:val="22"/>
        </w:rPr>
        <w:t> </w:t>
      </w:r>
      <w:r>
        <w:rPr>
          <w:rFonts w:ascii="Times New Roman" w:hAnsi="Times New Roman"/>
          <w:b w:val="false"/>
          <w:i w:val="false"/>
          <w:color w:val="000000"/>
          <w:sz w:val="22"/>
        </w:rPr>
        <w:t>After issuance of an emergency adjudicative order, the division shall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3.31(5)</w:t>
      </w:r>
      <w:r>
        <w:rPr>
          <w:rFonts w:ascii="Times New Roman" w:hAnsi="Times New Roman"/>
          <w:b w:val="false"/>
          <w:i w:val="false"/>
          <w:color w:val="000000"/>
          <w:sz w:val="22"/>
        </w:rPr>
        <w:t> </w:t>
      </w:r>
      <w:r>
        <w:rPr>
          <w:rFonts w:ascii="Times New Roman" w:hAnsi="Times New Roman"/>
          <w:b w:val="false"/>
          <w:i w:val="false"/>
          <w:color w:val="000000"/>
          <w:sz w:val="22"/>
        </w:rPr>
        <w:t>A written emergency adjudicative order shall include notification of the date on which division proceedings are scheduled for completion. After an emergency adjudicative order is issued, continuance of further division proceedings to a later date will be granted only in compelling circumstances and upon written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3.31(6)</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does not preclude issuance of summary cease and desist orders as authorized by Iowa Code sections </w:t>
      </w:r>
      <w:hyperlink r:id="rId67">
        <w:r>
          <w:rPr>
            <w:rStyle w:val="Hyperlink"/>
            <w:rFonts w:ascii="Times New Roman" w:hAnsi="Times New Roman"/>
            <w:b w:val="false"/>
            <w:i w:val="false"/>
            <w:color w:val="000000"/>
            <w:sz w:val="22"/>
          </w:rPr>
          <w:t>502.604</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502A.12</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523A.805</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523D.13</w:t>
        </w:r>
      </w:hyperlink>
      <w:r>
        <w:rPr>
          <w:rFonts w:ascii="Times New Roman" w:hAnsi="Times New Roman"/>
          <w:b w:val="false"/>
          <w:i w:val="false"/>
          <w:color w:val="000000"/>
          <w:sz w:val="22"/>
        </w:rPr>
        <w:t xml:space="preserve"> and chapters </w:t>
      </w:r>
      <w:hyperlink r:id="rId71">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507C</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508</w:t>
        </w:r>
      </w:hyperlink>
      <w:r>
        <w:rPr>
          <w:rFonts w:ascii="Times New Roman" w:hAnsi="Times New Roman"/>
          <w:b w:val="false"/>
          <w:i w:val="false"/>
          <w:color w:val="000000"/>
          <w:sz w:val="22"/>
        </w:rPr>
        <w:t xml:space="preserve">, and </w:t>
      </w:r>
      <w:hyperlink r:id="rId75">
        <w:r>
          <w:rPr>
            <w:rStyle w:val="Hyperlink"/>
            <w:rFonts w:ascii="Times New Roman" w:hAnsi="Times New Roman"/>
            <w:b w:val="false"/>
            <w:i w:val="false"/>
            <w:color w:val="000000"/>
            <w:sz w:val="22"/>
          </w:rPr>
          <w:t>515</w:t>
        </w:r>
      </w:hyperlink>
      <w:r>
        <w:rPr>
          <w:rFonts w:ascii="Times New Roman" w:hAnsi="Times New Roman"/>
          <w:b w:val="false"/>
          <w:i w:val="false"/>
          <w:color w:val="000000"/>
          <w:sz w:val="22"/>
        </w:rPr>
        <w:t xml:space="preserve"> and rule </w:t>
      </w:r>
      <w:hyperlink r:id="rId76">
        <w:r>
          <w:rPr>
            <w:rStyle w:val="Hyperlink"/>
            <w:rFonts w:ascii="Times New Roman" w:hAnsi="Times New Roman"/>
            <w:b w:val="false"/>
            <w:i w:val="false"/>
            <w:color w:val="000000"/>
            <w:sz w:val="22"/>
          </w:rPr>
          <w:t>191—3.32</w:t>
        </w:r>
      </w:hyperlink>
      <w:r>
        <w:rPr>
          <w:rFonts w:ascii="Times New Roman" w:hAnsi="Times New Roman"/>
          <w:b w:val="false"/>
          <w:i w:val="false"/>
          <w:color w:val="000000"/>
          <w:sz w:val="22"/>
        </w:rPr>
        <w:t>(502,505).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191—3.32</w:t>
      </w:r>
      <w:r>
        <w:rPr>
          <w:rFonts w:ascii="Times New Roman" w:hAnsi="Times New Roman"/>
          <w:b/>
          <w:i w:val="false"/>
          <w:color w:val="000000"/>
          <w:sz w:val="22"/>
        </w:rPr>
        <w:t xml:space="preserve">(502,505,507B) </w:t>
      </w:r>
      <w:r>
        <w:rPr>
          <w:rFonts w:ascii="Times New Roman" w:hAnsi="Times New Roman"/>
          <w:b/>
          <w:i w:val="false"/>
          <w:color w:val="000000"/>
          <w:sz w:val="22"/>
        </w:rPr>
        <w:t xml:space="preserve">Summary cease and desist orders. </w:t>
      </w:r>
      <w:r>
        <w:rPr>
          <w:rFonts w:ascii="Times New Roman" w:hAnsi="Times New Roman"/>
          <w:b w:val="false"/>
          <w:i w:val="false"/>
          <w:color w:val="000000"/>
          <w:sz w:val="22"/>
        </w:rPr>
        <w:t>When a statute authorizes action to be taken without a prior hearing, the commissioner’s order shall be sent to the last-known address of the party by certified mail, return receipt requested, unless the party is a licensee, in which case the order shall be sent by restricted certified mail. The order shall include a brief statement of findings of fact, conclusions of law and policy reasons for the decision; direct the person or insurer to cease and desist from engaging in the act or practice or to take other affirmative action as is necessary, in the judgment of the commissioner, to comply with the statute; and state that the party will be afforded a contested case proceeding and a hearing if a request is filed with the commissioner at least 30 days from the date that the order is issued, unless a different time is specified by statute. The commissioner shall issue a notice of hearing no later than 30 days from the date of receipt of a timely request for a contested case proceeding and hearing. If a statute requires a hearing to be held following issuance of a summary order, the date and time of that hearing shall be set forth in the order. Summary orders shall remain effective during the pendency of proceedings.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191—3.33</w:t>
      </w:r>
      <w:r>
        <w:rPr>
          <w:rFonts w:ascii="Times New Roman" w:hAnsi="Times New Roman"/>
          <w:b/>
          <w:i w:val="false"/>
          <w:color w:val="000000"/>
          <w:sz w:val="22"/>
        </w:rPr>
        <w:t xml:space="preserve">(17A,502,505) </w:t>
      </w:r>
      <w:r>
        <w:rPr>
          <w:rFonts w:ascii="Times New Roman" w:hAnsi="Times New Roman"/>
          <w:b/>
          <w:i w:val="false"/>
          <w:color w:val="000000"/>
          <w:sz w:val="22"/>
        </w:rPr>
        <w:t xml:space="preserve">Settlement.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3.33(1)</w:t>
      </w:r>
      <w:r>
        <w:rPr>
          <w:rFonts w:ascii="Times New Roman" w:hAnsi="Times New Roman"/>
          <w:b w:val="false"/>
          <w:i w:val="false"/>
          <w:color w:val="000000"/>
          <w:sz w:val="22"/>
        </w:rPr>
        <w:t> </w:t>
      </w:r>
      <w:r>
        <w:rPr>
          <w:rFonts w:ascii="Times New Roman" w:hAnsi="Times New Roman"/>
          <w:b w:val="false"/>
          <w:i w:val="false"/>
          <w:color w:val="000000"/>
          <w:sz w:val="22"/>
        </w:rPr>
        <w:t>A party to a controversy that may culminate or has culminated in contested case proceedings may attempt settlement by complying with the procedures set forth in this subrule. No party shall be required to settle the controversy or contested case by submitting to settlement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3.33(2)</w:t>
      </w:r>
      <w:r>
        <w:rPr>
          <w:rFonts w:ascii="Times New Roman" w:hAnsi="Times New Roman"/>
          <w:b w:val="false"/>
          <w:i w:val="false"/>
          <w:color w:val="000000"/>
          <w:sz w:val="22"/>
        </w:rPr>
        <w:t> </w:t>
      </w:r>
      <w:r>
        <w:rPr>
          <w:rFonts w:ascii="Times New Roman" w:hAnsi="Times New Roman"/>
          <w:b w:val="false"/>
          <w:i w:val="false"/>
          <w:color w:val="000000"/>
          <w:sz w:val="22"/>
        </w:rPr>
        <w:t>Parties desiring settlement shall set forth in writing the various points of a proposed settlement, including findings of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3.33(3)</w:t>
      </w:r>
      <w:r>
        <w:rPr>
          <w:rFonts w:ascii="Times New Roman" w:hAnsi="Times New Roman"/>
          <w:b w:val="false"/>
          <w:i w:val="false"/>
          <w:color w:val="000000"/>
          <w:sz w:val="22"/>
        </w:rPr>
        <w:t> </w:t>
      </w:r>
      <w:r>
        <w:rPr>
          <w:rFonts w:ascii="Times New Roman" w:hAnsi="Times New Roman"/>
          <w:b w:val="false"/>
          <w:i w:val="false"/>
          <w:color w:val="000000"/>
          <w:sz w:val="22"/>
        </w:rPr>
        <w:t>When signed by the parties and approved by the commissioner, a settlement shall represent final disposition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3.33(4)</w:t>
      </w:r>
      <w:r>
        <w:rPr>
          <w:rFonts w:ascii="Times New Roman" w:hAnsi="Times New Roman"/>
          <w:b w:val="false"/>
          <w:i w:val="false"/>
          <w:color w:val="000000"/>
          <w:sz w:val="22"/>
        </w:rPr>
        <w:t> </w:t>
      </w:r>
      <w:r>
        <w:rPr>
          <w:rFonts w:ascii="Times New Roman" w:hAnsi="Times New Roman"/>
          <w:b w:val="false"/>
          <w:i w:val="false"/>
          <w:color w:val="000000"/>
          <w:sz w:val="22"/>
        </w:rPr>
        <w:t>When there is more than one party adverse to the division, a separate settlement between one party and the division is permissible.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3.33(5)</w:t>
      </w:r>
      <w:r>
        <w:rPr>
          <w:rFonts w:ascii="Times New Roman" w:hAnsi="Times New Roman"/>
          <w:b w:val="false"/>
          <w:i w:val="false"/>
          <w:color w:val="000000"/>
          <w:sz w:val="22"/>
        </w:rPr>
        <w:t> </w:t>
      </w:r>
      <w:r>
        <w:rPr>
          <w:rFonts w:ascii="Times New Roman" w:hAnsi="Times New Roman"/>
          <w:b w:val="false"/>
          <w:i w:val="false"/>
          <w:color w:val="000000"/>
          <w:sz w:val="22"/>
        </w:rPr>
        <w:t>A proposed settlement that is not accepted or signed by the parties and the commissioner shall not be admitted as evidence in the record of a contested case proceeding. Evidence of conduct or statements made in settlement negotiations likewise are not admissible. This rule does not require exclusion when the evidence is offered for another purpose, such as proving bias or prejudice of a witness, negating a contention of undue delay, or proving an effort to obstruct a criminal investigation or prosecution.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7/1/75—published 8/11/75 IAC Supp.]</w:t>
      </w:r>
    </w:p>
    <w:p>
      <w:pPr>
        <w:spacing w:before="0" w:after="0"/>
        <w:ind w:left="120"/>
        <w:jc w:val="center"/>
      </w:pPr>
      <w:r>
        <w:rPr>
          <w:rFonts w:ascii="Times New Roman" w:hAnsi="Times New Roman"/>
          <w:b w:val="false"/>
          <w:i w:val="false"/>
          <w:color w:val="000000"/>
          <w:sz w:val="21"/>
        </w:rPr>
        <w:t>[Filed 5/7/80, Notice 4/2/80—published 5/28/80, effective 7/3/80]</w:t>
      </w:r>
    </w:p>
    <w:p>
      <w:pPr>
        <w:spacing w:before="0" w:after="0"/>
        <w:ind w:left="120"/>
        <w:jc w:val="center"/>
      </w:pPr>
      <w:r>
        <w:rPr>
          <w:rFonts w:ascii="Times New Roman" w:hAnsi="Times New Roman"/>
          <w:b w:val="false"/>
          <w:i w:val="false"/>
          <w:color w:val="000000"/>
          <w:sz w:val="21"/>
        </w:rPr>
        <w:t>[Filed 12/10/81, Notice 9/16/81—published 1/6/82, effective 2/15/82]</w:t>
      </w:r>
    </w:p>
    <w:p>
      <w:pPr>
        <w:spacing w:before="0" w:after="0"/>
        <w:ind w:left="120"/>
        <w:jc w:val="center"/>
      </w:pPr>
      <w:r>
        <w:rPr>
          <w:rFonts w:ascii="Times New Roman" w:hAnsi="Times New Roman"/>
          <w:b w:val="false"/>
          <w:i w:val="false"/>
          <w:color w:val="000000"/>
          <w:sz w:val="21"/>
        </w:rPr>
        <w:t>[Filed 9/21/84, Notice 7/18/84—published 10/10/84, effective 11/15/84]</w:t>
      </w:r>
    </w:p>
    <w:p>
      <w:pPr>
        <w:spacing w:before="0" w:after="0"/>
        <w:ind w:left="120"/>
        <w:jc w:val="center"/>
      </w:pPr>
      <w:r>
        <w:rPr>
          <w:rFonts w:ascii="Times New Roman" w:hAnsi="Times New Roman"/>
          <w:b w:val="false"/>
          <w:i w:val="false"/>
          <w:color w:val="000000"/>
          <w:sz w:val="21"/>
        </w:rPr>
        <w:t>[Filed 4/8/85, Notice 1/30/85—published 4/24/85, effective 5/31/85]</w:t>
      </w:r>
    </w:p>
    <w:p>
      <w:pPr>
        <w:spacing w:before="0" w:after="0"/>
        <w:ind w:left="120"/>
        <w:jc w:val="center"/>
      </w:pPr>
      <w:r>
        <w:rPr>
          <w:rFonts w:ascii="Times New Roman" w:hAnsi="Times New Roman"/>
          <w:b w:val="false"/>
          <w:i w:val="false"/>
          <w:color w:val="000000"/>
          <w:sz w:val="21"/>
        </w:rPr>
        <w:t xml:space="preserve">[Editorially transferred from [510] to [191], IAC Supp. 10/22/86;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12/10/86, Notice 10/22/86—published 12/31/86, effective 2/4/87]</w:t>
      </w:r>
    </w:p>
    <w:p>
      <w:pPr>
        <w:spacing w:before="0" w:after="0"/>
        <w:ind w:left="120"/>
        <w:jc w:val="center"/>
      </w:pPr>
      <w:r>
        <w:rPr>
          <w:rFonts w:ascii="Times New Roman" w:hAnsi="Times New Roman"/>
          <w:b w:val="false"/>
          <w:i w:val="false"/>
          <w:color w:val="000000"/>
          <w:sz w:val="21"/>
        </w:rPr>
        <w:t>[Filed 1/19/90, Notice 8/23/89—published 2/7/90, effective 3/14/90]</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12/15/04, Notice 10/27/04—published 1/5/05, effective 2/9/05]</w:t>
      </w:r>
    </w:p>
    <w:p>
      <w:pPr>
        <w:spacing w:before="0" w:after="0"/>
        <w:ind w:left="120"/>
        <w:jc w:val="center"/>
      </w:pPr>
      <w:r>
        <w:rPr>
          <w:rFonts w:ascii="Times New Roman" w:hAnsi="Times New Roman"/>
          <w:b w:val="false"/>
          <w:i w:val="false"/>
          <w:color w:val="000000"/>
          <w:sz w:val="21"/>
        </w:rPr>
        <w:t>[Filed 10/5/06, Notice 8/30/06—published 10/25/06, effective 11/29/06]</w:t>
      </w:r>
    </w:p>
    <w:p>
      <w:pPr>
        <w:spacing w:before="0" w:after="0"/>
        <w:ind w:left="120"/>
        <w:jc w:val="center"/>
      </w:pPr>
      <w:r>
        <w:rPr>
          <w:rFonts w:ascii="Times New Roman" w:hAnsi="Times New Roman"/>
          <w:b w:val="false"/>
          <w:i w:val="false"/>
          <w:color w:val="000000"/>
          <w:sz w:val="21"/>
        </w:rPr>
        <w:t>[Editorial change: IAC Supplement 11/17/10]</w:t>
      </w:r>
    </w:p>
    <w:p>
      <w:pPr>
        <w:spacing w:before="0" w:after="0"/>
        <w:ind w:left="120"/>
        <w:jc w:val="center"/>
      </w:pPr>
      <w:r>
        <w:rPr>
          <w:rFonts w:ascii="Times New Roman" w:hAnsi="Times New Roman"/>
          <w:b w:val="false"/>
          <w:i w:val="false"/>
          <w:color w:val="000000"/>
          <w:sz w:val="21"/>
        </w:rPr>
        <w:t>[Filed ARC 4780C</w:t>
      </w:r>
      <w:r>
        <w:rPr>
          <w:rFonts w:ascii="Times New Roman" w:hAnsi="Times New Roman"/>
          <w:b w:val="false"/>
          <w:i w:val="false"/>
          <w:color w:val="000000"/>
          <w:sz w:val="21"/>
        </w:rPr>
        <w:t xml:space="preserve"> (Notice ARC 4660C, IAB 9/25/19)</w:t>
      </w:r>
      <w:r>
        <w:rPr>
          <w:rFonts w:ascii="Times New Roman" w:hAnsi="Times New Roman"/>
          <w:b w:val="false"/>
          <w:i w:val="false"/>
          <w:color w:val="000000"/>
          <w:sz w:val="21"/>
        </w:rPr>
        <w:t>, IAB 11/20/19, effective 12/25/19]</w:t>
      </w:r>
    </w:p>
    <w:p>
      <w:pPr>
        <w:spacing w:before="0" w:after="0"/>
        <w:ind w:left="120"/>
        <w:jc w:val="center"/>
      </w:pPr>
      <w:r>
        <w:rPr>
          <w:rFonts w:ascii="Times New Roman" w:hAnsi="Times New Roman"/>
          <w:b w:val="false"/>
          <w:i w:val="false"/>
          <w:color w:val="000000"/>
          <w:sz w:val="21"/>
        </w:rPr>
        <w:t>[Filed ARC 5197C</w:t>
      </w:r>
      <w:r>
        <w:rPr>
          <w:rFonts w:ascii="Times New Roman" w:hAnsi="Times New Roman"/>
          <w:b w:val="false"/>
          <w:i w:val="false"/>
          <w:color w:val="000000"/>
          <w:sz w:val="21"/>
        </w:rPr>
        <w:t xml:space="preserve"> (Notice ARC 5109C, IAB 7/29/20)</w:t>
      </w:r>
      <w:r>
        <w:rPr>
          <w:rFonts w:ascii="Times New Roman" w:hAnsi="Times New Roman"/>
          <w:b w:val="false"/>
          <w:i w:val="false"/>
          <w:color w:val="000000"/>
          <w:sz w:val="21"/>
        </w:rPr>
        <w:t>, IAB 9/23/20, effective 10/28/20]</w:t>
      </w:r>
    </w:p>
    <w:p>
      <w:pPr>
        <w:spacing w:before="0" w:after="0"/>
        <w:ind w:left="120"/>
        <w:jc w:val="center"/>
      </w:pPr>
      <w:r>
        <w:rPr>
          <w:rFonts w:ascii="Times New Roman" w:hAnsi="Times New Roman"/>
          <w:b w:val="false"/>
          <w:i w:val="false"/>
          <w:color w:val="000000"/>
          <w:sz w:val="21"/>
        </w:rPr>
        <w:t>[Filed ARC 7731C</w:t>
      </w:r>
      <w:r>
        <w:rPr>
          <w:rFonts w:ascii="Times New Roman" w:hAnsi="Times New Roman"/>
          <w:b w:val="false"/>
          <w:i w:val="false"/>
          <w:color w:val="000000"/>
          <w:sz w:val="21"/>
        </w:rPr>
        <w:t xml:space="preserve"> (Notice ARC 7346C, IAB 1/24/24)</w:t>
      </w:r>
      <w:r>
        <w:rPr>
          <w:rFonts w:ascii="Times New Roman" w:hAnsi="Times New Roman"/>
          <w:b w:val="false"/>
          <w:i w:val="false"/>
          <w:color w:val="000000"/>
          <w:sz w:val="21"/>
        </w:rPr>
        <w:t>, IAB 3/20/24, effective 4/24/24]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91.1.1.pdf" Type="http://schemas.openxmlformats.org/officeDocument/2006/relationships/hyperlink" Id="rId5"/>
    <Relationship TargetMode="External" Target="https://www.legis.iowa.gov/docs/ico/chapter/17A.2.pdf" Type="http://schemas.openxmlformats.org/officeDocument/2006/relationships/hyperlink" Id="rId6"/>
    <Relationship TargetMode="External" Target="https://www.legis.iowa.gov/docs/ico/chapter/17A.10A.pdf" Type="http://schemas.openxmlformats.org/officeDocument/2006/relationships/hyperlink" Id="rId7"/>
    <Relationship TargetMode="External" Target="https://www.legis.iowa.gov/docs/iac/rule/191.3.12.pdf" Type="http://schemas.openxmlformats.org/officeDocument/2006/relationships/hyperlink" Id="rId8"/>
    <Relationship TargetMode="External" Target="https://www.legis.iowa.gov/docs/iac/rule/191.3.12.pdf" Type="http://schemas.openxmlformats.org/officeDocument/2006/relationships/hyperlink" Id="rId9"/>
    <Relationship TargetMode="External" Target="https://www.legis.iowa.gov/docs/ico/chapter/17A.2.pdf" Type="http://schemas.openxmlformats.org/officeDocument/2006/relationships/hyperlink" Id="rId10"/>
    <Relationship TargetMode="External" Target="https://www.legis.iowa.gov/docs/ico/chapter/17A.2.pdf" Type="http://schemas.openxmlformats.org/officeDocument/2006/relationships/hyperlink" Id="rId11"/>
    <Relationship TargetMode="External" Target="https://www.legis.iowa.gov/docs/ico/chapter/17A.2.pdf" Type="http://schemas.openxmlformats.org/officeDocument/2006/relationships/hyperlink" Id="rId12"/>
    <Relationship TargetMode="External" Target="https://www.legis.iowa.gov/docs/ico/chapter/4.1.pdf" Type="http://schemas.openxmlformats.org/officeDocument/2006/relationships/hyperlink" Id="rId13"/>
    <Relationship TargetMode="External" Target="https://www.legis.iowa.gov/docs/iac/rule/191.1.4.pdf" Type="http://schemas.openxmlformats.org/officeDocument/2006/relationships/hyperlink" Id="rId14"/>
    <Relationship TargetMode="External" Target="https://www.legis.iowa.gov/docs/iac/rule/191.3.12.pdf" Type="http://schemas.openxmlformats.org/officeDocument/2006/relationships/hyperlink" Id="rId15"/>
    <Relationship TargetMode="External" Target="https://www.legis.iowa.gov/docs/iac/rule/191.3.6.pdf" Type="http://schemas.openxmlformats.org/officeDocument/2006/relationships/hyperlink" Id="rId16"/>
    <Relationship TargetMode="External" Target="https://www.legis.iowa.gov/docs/iac/rule/191.3.22.pdf" Type="http://schemas.openxmlformats.org/officeDocument/2006/relationships/hyperlink" Id="rId17"/>
    <Relationship TargetMode="External" Target="https://www.legis.iowa.gov/docs/iac/rule/191.3.12.pdf" Type="http://schemas.openxmlformats.org/officeDocument/2006/relationships/hyperlink" Id="rId18"/>
    <Relationship TargetMode="External" Target="https://www.legis.iowa.gov/docs/iac/rule/191.3.6.pdf" Type="http://schemas.openxmlformats.org/officeDocument/2006/relationships/hyperlink" Id="rId19"/>
    <Relationship TargetMode="External" Target="https://www.legis.iowa.gov/docs/ico/chapter/507A.pdf" Type="http://schemas.openxmlformats.org/officeDocument/2006/relationships/hyperlink" Id="rId20"/>
    <Relationship TargetMode="External" Target="https://www.legis.iowa.gov/docs/ico/chapter/507B.pdf" Type="http://schemas.openxmlformats.org/officeDocument/2006/relationships/hyperlink" Id="rId21"/>
    <Relationship TargetMode="External" Target="https://www.legis.iowa.gov/docs/ico/chapter/508B.pdf" Type="http://schemas.openxmlformats.org/officeDocument/2006/relationships/hyperlink" Id="rId22"/>
    <Relationship TargetMode="External" Target="https://www.legis.iowa.gov/docs/ico/chapter/515G.pdf" Type="http://schemas.openxmlformats.org/officeDocument/2006/relationships/hyperlink" Id="rId23"/>
    <Relationship TargetMode="External" Target="https://www.legis.iowa.gov/docs/ico/chapter/521A.pdf" Type="http://schemas.openxmlformats.org/officeDocument/2006/relationships/hyperlink" Id="rId24"/>
    <Relationship TargetMode="External" Target="https://www.legis.iowa.gov/docs/iac/rule/191.3.6.pdf" Type="http://schemas.openxmlformats.org/officeDocument/2006/relationships/hyperlink" Id="rId25"/>
    <Relationship TargetMode="External" Target="https://www.legis.iowa.gov/docs/ico/chapter/17A.17.pdf" Type="http://schemas.openxmlformats.org/officeDocument/2006/relationships/hyperlink" Id="rId26"/>
    <Relationship TargetMode="External" Target="https://www.legis.iowa.gov/docs/iac/rule/191.3.9.pdf" Type="http://schemas.openxmlformats.org/officeDocument/2006/relationships/hyperlink" Id="rId27"/>
    <Relationship TargetMode="External" Target="https://www.legis.iowa.gov/docs/iac/rule/191.3.23.pdf" Type="http://schemas.openxmlformats.org/officeDocument/2006/relationships/hyperlink" Id="rId28"/>
    <Relationship TargetMode="External" Target="https://www.legis.iowa.gov/docs/ico/chapter/17A.17.pdf" Type="http://schemas.openxmlformats.org/officeDocument/2006/relationships/hyperlink" Id="rId29"/>
    <Relationship TargetMode="External" Target="https://www.legis.iowa.gov/docs/iac/rule/191.3.25.pdf" Type="http://schemas.openxmlformats.org/officeDocument/2006/relationships/hyperlink" Id="rId30"/>
    <Relationship TargetMode="External" Target="https://www.legis.iowa.gov/docs/iac/rule/191.3.29.pdf" Type="http://schemas.openxmlformats.org/officeDocument/2006/relationships/hyperlink" Id="rId31"/>
    <Relationship TargetMode="External" Target="https://www.legis.iowa.gov/docs/ico/chapter/17A.16.pdf" Type="http://schemas.openxmlformats.org/officeDocument/2006/relationships/hyperlink" Id="rId32"/>
    <Relationship TargetMode="External" Target="https://www.legis.iowa.gov/docs/iac/rule/191.3.12.pdf" Type="http://schemas.openxmlformats.org/officeDocument/2006/relationships/hyperlink" Id="rId33"/>
    <Relationship TargetMode="External" Target="https://www.legis.iowa.gov/docs/iac/rule/191.1.4.pdf" Type="http://schemas.openxmlformats.org/officeDocument/2006/relationships/hyperlink" Id="rId34"/>
    <Relationship TargetMode="External" Target="mailto:enforcement.filings@iid.iowa.gov" Type="http://schemas.openxmlformats.org/officeDocument/2006/relationships/hyperlink" Id="rId35"/>
    <Relationship TargetMode="External" Target="https://www.legis.iowa.gov/docs/iac/rule/191.1.4.pdf" Type="http://schemas.openxmlformats.org/officeDocument/2006/relationships/hyperlink" Id="rId36"/>
    <Relationship TargetMode="External" Target="https://www.legis.iowa.gov/docs/iac/rule/191.3.12.pdf" Type="http://schemas.openxmlformats.org/officeDocument/2006/relationships/hyperlink" Id="rId37"/>
    <Relationship TargetMode="External" Target="https://www.legis.iowa.gov/docs/ico/chapter/22.7.pdf" Type="http://schemas.openxmlformats.org/officeDocument/2006/relationships/hyperlink" Id="rId38"/>
    <Relationship TargetMode="External" Target="https://www.legis.iowa.gov/docs/iac/rule/191.3.12.pdf" Type="http://schemas.openxmlformats.org/officeDocument/2006/relationships/hyperlink" Id="rId39"/>
    <Relationship TargetMode="External" Target="https://www.legis.iowa.gov/docs/ico/chapter/17A.13.pdf" Type="http://schemas.openxmlformats.org/officeDocument/2006/relationships/hyperlink" Id="rId40"/>
    <Relationship TargetMode="External" Target="https://www.legis.iowa.gov/docs/ico/chapter/522B.11.pdf" Type="http://schemas.openxmlformats.org/officeDocument/2006/relationships/hyperlink" Id="rId41"/>
    <Relationship TargetMode="External" Target="https://www.legis.iowa.gov/docs/iac/rule/191.3.12.pdf" Type="http://schemas.openxmlformats.org/officeDocument/2006/relationships/hyperlink" Id="rId42"/>
    <Relationship TargetMode="External" Target="https://www.legis.iowa.gov/docs/iac/rule/191.3.13.pdf" Type="http://schemas.openxmlformats.org/officeDocument/2006/relationships/hyperlink" Id="rId43"/>
    <Relationship TargetMode="External" Target="https://www.legis.iowa.gov/docs/iac/rule/191.3.12.pdf" Type="http://schemas.openxmlformats.org/officeDocument/2006/relationships/hyperlink" Id="rId44"/>
    <Relationship TargetMode="External" Target="https://www.legis.iowa.gov/docs/ico/chapter/622.69.pdf" Type="http://schemas.openxmlformats.org/officeDocument/2006/relationships/hyperlink" Id="rId45"/>
    <Relationship TargetMode="External" Target="https://www.legis.iowa.gov/docs/ico/chapter/622.69.pdf" Type="http://schemas.openxmlformats.org/officeDocument/2006/relationships/hyperlink" Id="rId46"/>
    <Relationship TargetMode="External" Target="https://www.legis.iowa.gov/docs/ico/chapter/622.72.pdf" Type="http://schemas.openxmlformats.org/officeDocument/2006/relationships/hyperlink" Id="rId47"/>
    <Relationship TargetMode="External" Target="https://www.legis.iowa.gov/docs/iac/rule/191.3.28.pdf" Type="http://schemas.openxmlformats.org/officeDocument/2006/relationships/hyperlink" Id="rId48"/>
    <Relationship TargetMode="External" Target="https://www.legis.iowa.gov/docs/iac/rule/191.3.27.pdf" Type="http://schemas.openxmlformats.org/officeDocument/2006/relationships/hyperlink" Id="rId49"/>
    <Relationship TargetMode="External" Target="https://www.legis.iowa.gov/docs/iac/rule/191.3.16.pdf" Type="http://schemas.openxmlformats.org/officeDocument/2006/relationships/hyperlink" Id="rId50"/>
    <Relationship TargetMode="External" Target="https://www.legis.iowa.gov/docs/iac/rule/191.3.5.pdf" Type="http://schemas.openxmlformats.org/officeDocument/2006/relationships/hyperlink" Id="rId51"/>
    <Relationship TargetMode="External" Target="https://www.legis.iowa.gov/docs/iac/rule/191.3.12.pdf" Type="http://schemas.openxmlformats.org/officeDocument/2006/relationships/hyperlink" Id="rId52"/>
    <Relationship TargetMode="External" Target="https://www.legis.iowa.gov/docs/iac/rule/191.3.27.pdf" Type="http://schemas.openxmlformats.org/officeDocument/2006/relationships/hyperlink" Id="rId53"/>
    <Relationship TargetMode="External" Target="https://www.legis.iowa.gov/docs/iac/rule/191.3.25.pdf" Type="http://schemas.openxmlformats.org/officeDocument/2006/relationships/hyperlink" Id="rId54"/>
    <Relationship TargetMode="External" Target="https://www.legis.iowa.gov/docs/iac/rule/191.3.29.pdf" Type="http://schemas.openxmlformats.org/officeDocument/2006/relationships/hyperlink" Id="rId55"/>
    <Relationship TargetMode="External" Target="https://www.legis.iowa.gov/docs/iac/rule/191.3.9.pdf" Type="http://schemas.openxmlformats.org/officeDocument/2006/relationships/hyperlink" Id="rId56"/>
    <Relationship TargetMode="External" Target="https://www.legis.iowa.gov/docs/iac/rule/191.3.12.pdf" Type="http://schemas.openxmlformats.org/officeDocument/2006/relationships/hyperlink" Id="rId57"/>
    <Relationship TargetMode="External" Target="https://www.legis.iowa.gov/docs/iac/rule/191.3.16.pdf" Type="http://schemas.openxmlformats.org/officeDocument/2006/relationships/hyperlink" Id="rId58"/>
    <Relationship TargetMode="External" Target="https://www.legis.iowa.gov/docs/ico/chapter/17A.13.pdf" Type="http://schemas.openxmlformats.org/officeDocument/2006/relationships/hyperlink" Id="rId59"/>
    <Relationship TargetMode="External" Target="https://www.legis.iowa.gov/docs/iac/rule/191.3.27.pdf" Type="http://schemas.openxmlformats.org/officeDocument/2006/relationships/hyperlink" Id="rId60"/>
    <Relationship TargetMode="External" Target="https://www.legis.iowa.gov/docs/iac/rule/191.3.27.pdf" Type="http://schemas.openxmlformats.org/officeDocument/2006/relationships/hyperlink" Id="rId61"/>
    <Relationship TargetMode="External" Target="https://www.legis.iowa.gov/docs/ico/chapter/17A.12.pdf" Type="http://schemas.openxmlformats.org/officeDocument/2006/relationships/hyperlink" Id="rId62"/>
    <Relationship TargetMode="External" Target="https://www.legis.iowa.gov/docs/iac/rule/191.3.27.pdf" Type="http://schemas.openxmlformats.org/officeDocument/2006/relationships/hyperlink" Id="rId63"/>
    <Relationship TargetMode="External" Target="https://www.legis.iowa.gov/docs/ico/chapter/17A.19.pdf" Type="http://schemas.openxmlformats.org/officeDocument/2006/relationships/hyperlink" Id="rId64"/>
    <Relationship TargetMode="External" Target="https://www.legis.iowa.gov/docs/ico/chapter/17A.18A.pdf" Type="http://schemas.openxmlformats.org/officeDocument/2006/relationships/hyperlink" Id="rId65"/>
    <Relationship TargetMode="External" Target="https://www.legis.iowa.gov/docs/iac/rule/191.3.5.pdf" Type="http://schemas.openxmlformats.org/officeDocument/2006/relationships/hyperlink" Id="rId66"/>
    <Relationship TargetMode="External" Target="https://www.legis.iowa.gov/docs/ico/chapter/502.604.pdf" Type="http://schemas.openxmlformats.org/officeDocument/2006/relationships/hyperlink" Id="rId67"/>
    <Relationship TargetMode="External" Target="https://www.legis.iowa.gov/docs/ico/chapter/502A.12.pdf" Type="http://schemas.openxmlformats.org/officeDocument/2006/relationships/hyperlink" Id="rId68"/>
    <Relationship TargetMode="External" Target="https://www.legis.iowa.gov/docs/ico/chapter/523A.805.pdf" Type="http://schemas.openxmlformats.org/officeDocument/2006/relationships/hyperlink" Id="rId69"/>
    <Relationship TargetMode="External" Target="https://www.legis.iowa.gov/docs/ico/chapter/523D.13.pdf" Type="http://schemas.openxmlformats.org/officeDocument/2006/relationships/hyperlink" Id="rId70"/>
    <Relationship TargetMode="External" Target="https://www.legis.iowa.gov/docs/ico/chapter/505.pdf" Type="http://schemas.openxmlformats.org/officeDocument/2006/relationships/hyperlink" Id="rId71"/>
    <Relationship TargetMode="External" Target="https://www.legis.iowa.gov/docs/ico/chapter/507B.pdf" Type="http://schemas.openxmlformats.org/officeDocument/2006/relationships/hyperlink" Id="rId72"/>
    <Relationship TargetMode="External" Target="https://www.legis.iowa.gov/docs/ico/chapter/507C.pdf" Type="http://schemas.openxmlformats.org/officeDocument/2006/relationships/hyperlink" Id="rId73"/>
    <Relationship TargetMode="External" Target="https://www.legis.iowa.gov/docs/ico/chapter/508.pdf" Type="http://schemas.openxmlformats.org/officeDocument/2006/relationships/hyperlink" Id="rId74"/>
    <Relationship TargetMode="External" Target="https://www.legis.iowa.gov/docs/ico/chapter/515.pdf" Type="http://schemas.openxmlformats.org/officeDocument/2006/relationships/hyperlink" Id="rId75"/>
    <Relationship TargetMode="External" Target="https://www.legis.iowa.gov/docs/iac/rule/191.3.32.pdf" Type="http://schemas.openxmlformats.org/officeDocument/2006/relationships/hyperlink" Id="rId76"/>
    <Relationship TargetMode="External" Target="https://www.legis.iowa.gov/docs/ico/chapter/17A.pdf" Type="http://schemas.openxmlformats.org/officeDocument/2006/relationships/hyperlink" Id="rId7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