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PROCEDURE FOR ADOPTION OF RULES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189—4.1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credit union division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189—4.2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credit union division may, before publication of a Notice of Intended Action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189—4.3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agency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agency. For each anticipated rule-making proceeding, the docket shall contain a listing of the precise subject matter which may be submitted for consideration by the board for subsequent proposal under the provisions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agency personnel with whom persons may communicate with respect to the matter, and an indication of the present status within the agency of that possible rule. The agency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The rule-making docket shall list each pending rule-making proceeding. A rule-making proceeding is pending from the time it is commenced by publication in the Iowa Administrative Bulletin to the time it is terminated or the rule becomes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division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dates of the rule’s filing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189—4.4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adoption of a rule the credit union division shall publish Notice of Intended Action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request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credit union division shall include in the notice a statement fully describing the specific subject matter of the omitted portion of the text of the proposed rule, the specific issues to be addressed by that omitted text of the proposed rule, and the range of possible choices being considered by the division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w:t>
      </w:r>
      <w:hyperlink r:id="rId8">
        <w:r>
          <w:rPr>
            <w:rStyle w:val="Hyperlink"/>
            <w:rFonts w:ascii="Times New Roman" w:hAnsi="Times New Roman"/>
            <w:b w:val="false"/>
            <w:i w:val="false"/>
            <w:color w:val="000000"/>
            <w:sz w:val="22"/>
          </w:rPr>
          <w:t>subrule 4.12(2)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 xml:space="preserve">Persons desiring copies of future Notices of Intended Action by subscription must file with the credit union division at the address disclosed in </w:t>
      </w:r>
      <w:hyperlink r:id="rId9">
        <w:r>
          <w:rPr>
            <w:rStyle w:val="Hyperlink"/>
            <w:rFonts w:ascii="Times New Roman" w:hAnsi="Times New Roman"/>
            <w:b w:val="false"/>
            <w:i w:val="false"/>
            <w:color w:val="000000"/>
            <w:sz w:val="22"/>
          </w:rPr>
          <w:t>189—subrule 1.3(1)</w:t>
        </w:r>
      </w:hyperlink>
      <w:r>
        <w:rPr>
          <w:rFonts w:ascii="Times New Roman" w:hAnsi="Times New Roman"/>
          <w:b w:val="false"/>
          <w:i w:val="false"/>
          <w:color w:val="000000"/>
          <w:sz w:val="22"/>
        </w:rPr>
        <w:t xml:space="preserve"> a written request indicating the name and address to which such Notices of Intended Action should be sent. The request shall specify whether the person wants to receive credit union rules as defined by </w:t>
      </w:r>
      <w:hyperlink r:id="rId10">
        <w:r>
          <w:rPr>
            <w:rStyle w:val="Hyperlink"/>
            <w:rFonts w:ascii="Times New Roman" w:hAnsi="Times New Roman"/>
            <w:b w:val="false"/>
            <w:i w:val="false"/>
            <w:color w:val="000000"/>
            <w:sz w:val="22"/>
          </w:rPr>
          <w:t>rule 189—1.4(17A,533)</w:t>
        </w:r>
      </w:hyperlink>
      <w:r>
        <w:rPr>
          <w:rFonts w:ascii="Times New Roman" w:hAnsi="Times New Roman"/>
          <w:b w:val="false"/>
          <w:i w:val="false"/>
          <w:color w:val="000000"/>
          <w:sz w:val="22"/>
        </w:rPr>
        <w:t>. Within seven days after submission of a Notice of Intended Action for publication, the division shall mail or otherwise transmit a copy of that notice to subscribers who have filed a written request.</w:t>
      </w:r>
    </w:p>
    <w:p>
      <w:pPr>
        <w:spacing w:before="0" w:after="0"/>
        <w:ind w:left="120"/>
        <w:jc w:val="both"/>
      </w:pPr>
      <w:r>
        <w:rPr>
          <w:rFonts w:ascii="Times New Roman" w:hAnsi="Times New Roman"/>
          <w:b/>
          <w:i w:val="false"/>
          <w:color w:val="000000"/>
          <w:sz w:val="22"/>
        </w:rPr>
        <w:t>189—4.5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 xml:space="preserve">For at least 20 days after publication of the Notice of Intended Action, persons may submit argument, data and views, in writing, on the proposed rule. Such written submissions should identify the proposed rule to which they relate and should be submitted to the credit union division or the person designated in the Notice of Intended Action, at the address disclosed in </w:t>
      </w:r>
      <w:hyperlink r:id="rId11">
        <w:r>
          <w:rPr>
            <w:rStyle w:val="Hyperlink"/>
            <w:rFonts w:ascii="Times New Roman" w:hAnsi="Times New Roman"/>
            <w:b w:val="false"/>
            <w:i w:val="false"/>
            <w:color w:val="000000"/>
            <w:sz w:val="22"/>
          </w:rPr>
          <w:t>189—subrule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credit union division may, at any time, schedule an oral proceeding on a proposed rule. The division shall schedule an oral proceeding on a proposed rule if, within 20 days after the published Notice of Intended Action, a written request for an opportunity to make oral presentations is submitted to the division by the administrative rules review committee, a governmental subdivision, an agency, an association having not less than 25 members, or at least 25 persons. That request must also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person and include the address and telephone number of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2">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superintendent, or another person designated by the superintendent who will be familiar with the substance of the proposed rule, shall preside at the oral proceeding on a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division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credit union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 made by those participants in that proceeding; but no participant shall be required to answer any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credit union division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credit union division shall schedule oral proceedings in rooms accessible to and functional for persons with physical disabilities. Persons who have special requirements should contact the division at (515)281-6514 in advance to arrange access or other needed services.</w:t>
      </w:r>
    </w:p>
    <w:p>
      <w:pPr>
        <w:spacing w:before="0" w:after="0"/>
        <w:ind w:left="120"/>
        <w:jc w:val="both"/>
      </w:pPr>
      <w:r>
        <w:rPr>
          <w:rFonts w:ascii="Times New Roman" w:hAnsi="Times New Roman"/>
          <w:b/>
          <w:i w:val="false"/>
          <w:color w:val="000000"/>
          <w:sz w:val="22"/>
        </w:rPr>
        <w:t>189—4.6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3">
        <w:r>
          <w:rPr>
            <w:rStyle w:val="Hyperlink"/>
            <w:rFonts w:ascii="Times New Roman" w:hAnsi="Times New Roman"/>
            <w:b w:val="false"/>
            <w:i w:val="false"/>
            <w:color w:val="000000"/>
            <w:sz w:val="22"/>
          </w:rPr>
          <w:t>17A.4A(7)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 xml:space="preserve">Small businesses or organizations of small businesses may be registered on the credit union division’s small business impact list by making a written application to the division at the address disclosed in </w:t>
      </w:r>
      <w:hyperlink r:id="rId14">
        <w:r>
          <w:rPr>
            <w:rStyle w:val="Hyperlink"/>
            <w:rFonts w:ascii="Times New Roman" w:hAnsi="Times New Roman"/>
            <w:b w:val="false"/>
            <w:i w:val="false"/>
            <w:color w:val="000000"/>
            <w:sz w:val="22"/>
          </w:rPr>
          <w:t>189—subrule 1.3(1)</w:t>
        </w:r>
      </w:hyperlink>
      <w:r>
        <w:rPr>
          <w:rFonts w:ascii="Times New Roman" w:hAnsi="Times New Roman"/>
          <w:b w:val="false"/>
          <w:i w:val="false"/>
          <w:color w:val="000000"/>
          <w:sz w:val="22"/>
        </w:rPr>
        <w:t>.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each qualify as a small business shall indicate that fact;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applicant desires copies of Notices of Intended Action, for a reasonable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credit union division may at any time request additional information from the applicant to determine whether the applicant is qualified as a small business or as an organization of 25 or more small businesses. The division may periodically send a letter to each registered small business or organization,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credit union division shall mail to all registered small businesses or organizations of small businesses, in accordance with their request, either a copy of the Notice of Intended Action or notice of the subject of that proposed rule making. For a rule that may have an impact on small business adopted in reliance upon Iowa Code section </w:t>
      </w:r>
      <w:hyperlink r:id="rId15">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division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credit union division shall issue a regulatory analysis of a proposed rule that conforms to the requirements of Iowa Code section </w:t>
      </w:r>
      <w:hyperlink r:id="rId16">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credit union division shall issue a regulatory analysis of a proposed rule that conforms to the requirements of Iowa Code section </w:t>
      </w:r>
      <w:hyperlink r:id="rId17">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The request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credit union division shall adhere to the time lines described in Iowa Code section </w:t>
      </w:r>
      <w:hyperlink r:id="rId18">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received by the division, at the address disclosed in </w:t>
      </w:r>
      <w:hyperlink r:id="rId19">
        <w:r>
          <w:rPr>
            <w:rStyle w:val="Hyperlink"/>
            <w:rFonts w:ascii="Times New Roman" w:hAnsi="Times New Roman"/>
            <w:b w:val="false"/>
            <w:i w:val="false"/>
            <w:color w:val="000000"/>
            <w:sz w:val="22"/>
          </w:rPr>
          <w:t>189—subrule 1.3(1)</w:t>
        </w:r>
      </w:hyperlink>
      <w:r>
        <w:rPr>
          <w:rFonts w:ascii="Times New Roman" w:hAnsi="Times New Roman"/>
          <w:b w:val="false"/>
          <w:i w:val="false"/>
          <w:color w:val="000000"/>
          <w:sz w:val="22"/>
        </w:rPr>
        <w:t xml:space="preserve">. The request shall be in writing and satisfy the requirements of Iowa Code section </w:t>
      </w:r>
      <w:hyperlink r:id="rId20">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21">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(4,5).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credit union division shall make available, to the extent feasible, copies of the published summary in conformance with Iowa Code section </w:t>
      </w:r>
      <w:hyperlink r:id="rId22">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23">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(2a), unless a written request expressly waives one or more of the items listed in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and, if the credit union division determines that the rule would have a substantial impact on small businesses, the regulatory analysis shall conform to the requirements of Iowa Code section </w:t>
      </w:r>
      <w:hyperlink r:id="rId24">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(2b).</w:t>
      </w:r>
    </w:p>
    <w:p>
      <w:pPr>
        <w:spacing w:before="0" w:after="0"/>
        <w:ind w:left="120"/>
        <w:jc w:val="both"/>
      </w:pPr>
      <w:r>
        <w:rPr>
          <w:rFonts w:ascii="Times New Roman" w:hAnsi="Times New Roman"/>
          <w:b/>
          <w:i w:val="false"/>
          <w:color w:val="000000"/>
          <w:sz w:val="22"/>
        </w:rPr>
        <w:t>189—4.7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25">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If the credit union division determines at the time it adopts a rule that the fiscal impact statement upon which the rule is based contains errors, the division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189—4.8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credit union division shall not adopt a rule until the period for making written submissions and oral presentations has expired. Within 180 days after the later of the publication of the Notice of Intended Action, or the end of oral proceedings thereon, the credit union division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credit union division shall fully consider all of the written and oral submissions received in that rule-making proceeding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w:t>
      </w:r>
      <w:r>
        <w:rPr>
          <w:rFonts w:ascii="Times New Roman" w:hAnsi="Times New Roman"/>
          <w:b w:val="false"/>
          <w:i w:val="false"/>
          <w:color w:val="000000"/>
          <w:sz w:val="22"/>
        </w:rPr>
        <w:t> </w:t>
      </w:r>
      <w:r>
        <w:rPr>
          <w:rFonts w:ascii="Times New Roman" w:hAnsi="Times New Roman"/>
          <w:b w:val="false"/>
          <w:i/>
          <w:color w:val="000000"/>
          <w:sz w:val="22"/>
        </w:rPr>
        <w:t xml:space="preserve">Reliance on agency expertise. </w:t>
      </w:r>
      <w:r>
        <w:rPr>
          <w:rFonts w:ascii="Times New Roman" w:hAnsi="Times New Roman"/>
          <w:b w:val="false"/>
          <w:i w:val="false"/>
          <w:color w:val="000000"/>
          <w:sz w:val="22"/>
        </w:rPr>
        <w:t>Except as otherwise provided by law, the credit union division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189—4.9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rule proposed in Notice of Intended Action. </w:t>
      </w:r>
      <w:r>
        <w:rPr>
          <w:rFonts w:ascii="Times New Roman" w:hAnsi="Times New Roman"/>
          <w:b w:val="false"/>
          <w:i w:val="false"/>
          <w:color w:val="000000"/>
          <w:sz w:val="22"/>
        </w:rPr>
        <w:t>The credit union division shall not adopt a rule that differs from the rule proposed in the Notice of Intended Action upon which the rule is based unless: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i w:val="false"/>
          <w:color w:val="000000"/>
          <w:sz w:val="22"/>
        </w:rPr>
        <w:t>189—4.10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credit union division for good cause finds that public notice and participation are unnecessary, impracticable or contrary to the public interest in the process of adopting a particular rule, the division may adopt that rule without publishing advance Notice of Intended Action in the Iowa Administrative Bulletin and without providing for written or oral public submissions prior to its adoption. The division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 xml:space="preserve">The credit union division may, at any time, commence a standard rule-making proceeding for the adoption of a rule that is identical or similar to a rule it adopts in reliance upon </w:t>
      </w:r>
      <w:hyperlink r:id="rId26">
        <w:r>
          <w:rPr>
            <w:rStyle w:val="Hyperlink"/>
            <w:rFonts w:ascii="Times New Roman" w:hAnsi="Times New Roman"/>
            <w:b w:val="false"/>
            <w:i w:val="false"/>
            <w:color w:val="000000"/>
            <w:sz w:val="22"/>
          </w:rPr>
          <w:t>subrule 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189—4.11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requested by a person, either prior to the adoption of a rule or within 30 days after its publication in the Iowa Administrative Bulletin as an adopted rule, the credit union division shall issue a concise statement of reasons for the rule. Requests for such a statement shall be in writing and shall be delivered to the division at the address disclosed in </w:t>
      </w:r>
      <w:hyperlink r:id="rId27">
        <w:r>
          <w:rPr>
            <w:rStyle w:val="Hyperlink"/>
            <w:rFonts w:ascii="Times New Roman" w:hAnsi="Times New Roman"/>
            <w:b w:val="false"/>
            <w:i w:val="false"/>
            <w:color w:val="000000"/>
            <w:sz w:val="22"/>
          </w:rPr>
          <w:t>189—subrule 1.3(1)</w:t>
        </w:r>
      </w:hyperlink>
      <w:r>
        <w:rPr>
          <w:rFonts w:ascii="Times New Roman" w:hAnsi="Times New Roman"/>
          <w:b w:val="false"/>
          <w:i w:val="false"/>
          <w:color w:val="000000"/>
          <w:sz w:val="22"/>
        </w:rPr>
        <w:t>.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changes between the text of the proposed rule contained in the published Notice of Intended Action and the text of the rule as finally adopted, with the reasons for any such change;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credit union division’s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credit union division shall issue a concise statement of reasons by the later of the time the rule is adopted or 35 days after receipt of the request.</w:t>
      </w:r>
    </w:p>
    <w:p>
      <w:pPr>
        <w:spacing w:before="0" w:after="0"/>
        <w:ind w:left="120"/>
        <w:jc w:val="both"/>
      </w:pPr>
      <w:r>
        <w:rPr>
          <w:rFonts w:ascii="Times New Roman" w:hAnsi="Times New Roman"/>
          <w:b/>
          <w:i w:val="false"/>
          <w:color w:val="000000"/>
          <w:sz w:val="22"/>
        </w:rPr>
        <w:t>189—4.12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credit union division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division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8">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 or the credit union division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29">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 or the credit union division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credit union division may incorporate by reference in a proposed or adopted rule, and without causing publication of the incorporated matter in full, all or any part of a code, standard, rule, or other matter if the division finds that the incorporation of its text in the division’s proposed or adopted rule would be unduly cumbersome, expensive, or otherwise inexpedient. The reference in the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division may incorporate such matter by reference in a proposed or adopted rule only if the division makes copies of it readily available to the public. The rule shall state how and where copies of the incorporated matter may be obtained at cost from this division, and how and where copies may be obtained from the division of the United States, this state, another state, or the organization, association, or persons originally issuing that matter. The division shall retain permanently a copy of any materials incorporated by reference in a rule of the division.</w:t>
      </w:r>
    </w:p>
    <w:p>
      <w:pPr>
        <w:spacing w:before="0" w:after="0"/>
        <w:ind w:left="120"/>
        <w:jc w:val="both"/>
      </w:pPr>
      <w:r>
        <w:rPr>
          <w:rFonts w:ascii="Times New Roman" w:hAnsi="Times New Roman"/>
          <w:b w:val="false"/>
          <w:i w:val="false"/>
          <w:color w:val="000000"/>
          <w:sz w:val="22"/>
        </w:rPr>
        <w:t>If the division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Reference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division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division. The division will provide a copy of that full text for a reasonable charge upon request,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division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division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189—4.13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credit union division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agency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division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division’s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division, and all other written materials of a factual nature as distinguished from opinion that are relevant to the merits of the rule and that were created or compiled by the agency and considered by the division, in connection with the formulation, proposal, or adoption of the rule or the proceeding upon which the rule is based, except to the extent the division is authorized by law to keep them confidential; provided, however, that when any such materials are deleted because they are authorized by law to be kept confidential, the division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30">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copy of any objection to the rule filed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rule-making record required by this rule need not constitute the exclusive basis for division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credit union division shall maintain the rule-making record for a period of not less than five years from the later of the date the rule to which it pertains became effective, the date of the Notice of Intended Action, or the date of any written criticism as described in paragraph </w:t>
      </w:r>
      <w:hyperlink r:id="rId31">
        <w:r>
          <w:rPr>
            <w:rStyle w:val="Hyperlink"/>
            <w:rFonts w:ascii="Times New Roman" w:hAnsi="Times New Roman"/>
            <w:b w:val="false"/>
            <w:i w:val="false"/>
            <w:color w:val="000000"/>
            <w:sz w:val="22"/>
          </w:rPr>
          <w:t>4.13(2)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210" w:after="0"/>
        <w:ind w:left="120"/>
        <w:jc w:val="both"/>
      </w:pPr>
      <w:r>
        <w:rPr>
          <w:rFonts w:ascii="Times New Roman" w:hAnsi="Times New Roman"/>
          <w:b/>
          <w:i w:val="false"/>
          <w:color w:val="000000"/>
          <w:sz w:val="22"/>
        </w:rPr>
        <w:t>189—4.14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credit union division shall file each rule it adopts with the administrative rules coordinator. The filing must be executed as soon after adopting the rule as is practicable. At the time of filing, each rule must have attached to it any fiscal impact statement and any concise statement of reasons that was issued for that rule. If a fiscal impact statement or statement of reasons for that rule was not issued until after the filing of that rule, the note or statement must be attached to the filed rule within five working days after the note or statement is issued. In filing a rule, the division shall use the standard form prescribed by the administrative rules coordinator.</w:t>
      </w:r>
    </w:p>
    <w:p>
      <w:pPr>
        <w:spacing w:before="0" w:after="0"/>
        <w:ind w:left="120"/>
        <w:jc w:val="both"/>
      </w:pPr>
      <w:r>
        <w:rPr>
          <w:rFonts w:ascii="Times New Roman" w:hAnsi="Times New Roman"/>
          <w:b/>
          <w:i w:val="false"/>
          <w:color w:val="000000"/>
          <w:sz w:val="22"/>
        </w:rPr>
        <w:t>189—4.15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credit union division may make a rule effective after its filing at any stated time prior to 35 days after its indexing and publication in the Iowa Administrative Bulletin if the division finds that a statute so provides, the rule confers a benefit or removes a restriction on some segment of the public, or that the effective date of the rule is necessary to avoid imminent peril to the public health, safety, or welfare. The division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credit union division makes a rule effective prior to its indexing and publication in reliance upon the provisions of Iowa Code section </w:t>
      </w:r>
      <w:hyperlink r:id="rId32">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division shall employ all reasonable efforts to make its contents known to the persons who may be affected by that rule prior to the rule’s indexing and publication. The term “all reasonable efforts” requires the division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division of utilizing each of those alternatives, and the harm suffered by affected persons from any lack of notice. The means that may be used for providing notice of such rules prior to their indexing and publication include, but are not limited to, any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3">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shall include in that rule a statement describing the reasonable efforts that will be used to comply with the requirements of this subrule.</w:t>
      </w:r>
    </w:p>
    <w:p>
      <w:pPr>
        <w:spacing w:before="0" w:after="0"/>
        <w:ind w:left="120"/>
        <w:jc w:val="both"/>
      </w:pPr>
      <w:r>
        <w:rPr>
          <w:rFonts w:ascii="Times New Roman" w:hAnsi="Times New Roman"/>
          <w:b/>
          <w:i w:val="false"/>
          <w:color w:val="000000"/>
          <w:sz w:val="22"/>
        </w:rPr>
        <w:t>189—4.16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credit union division shall maintain an official, current, and dated compilation that is indexed by subject, containing all of its general statements of policy within the scope of Iowa Code section </w:t>
      </w:r>
      <w:hyperlink r:id="rId34">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w:t>
      </w:r>
      <w:r>
        <w:rPr>
          <w:rFonts w:ascii="Times New Roman" w:hAnsi="Times New Roman"/>
          <w:b w:val="false"/>
          <w:i w:val="false"/>
          <w:color w:val="000000"/>
          <w:sz w:val="22"/>
        </w:rPr>
        <w:t xml:space="preserve"> and </w:t>
      </w:r>
      <w:r>
        <w:rPr>
          <w:rFonts w:ascii="Times New Roman" w:hAnsi="Times New Roman"/>
          <w:b w:val="false"/>
          <w:i/>
          <w:color w:val="000000"/>
          <w:sz w:val="22"/>
        </w:rPr>
        <w:t xml:space="preserve">“k.” </w:t>
      </w:r>
      <w:r>
        <w:rPr>
          <w:rFonts w:ascii="Times New Roman" w:hAnsi="Times New Roman"/>
          <w:b w:val="false"/>
          <w:i w:val="false"/>
          <w:color w:val="000000"/>
          <w:sz w:val="22"/>
        </w:rPr>
        <w:t xml:space="preserve">Each addition to, change in, or deletion from the official compilation must also be dated, indexed, and a record thereof kept. Except for those portions containing rules governed by Iowa Code section </w:t>
      </w:r>
      <w:hyperlink r:id="rId35">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credit union division to the detriment of any person who does not have actual, timely knowledge of the contents of the statement until the requirements of </w:t>
      </w:r>
      <w:hyperlink r:id="rId36">
        <w:r>
          <w:rPr>
            <w:rStyle w:val="Hyperlink"/>
            <w:rFonts w:ascii="Times New Roman" w:hAnsi="Times New Roman"/>
            <w:b w:val="false"/>
            <w:i w:val="false"/>
            <w:color w:val="000000"/>
            <w:sz w:val="22"/>
          </w:rPr>
          <w:t>subrule 4.16(1)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189—4.17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of rules by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credit union division to conduct a formal review of an existing rule. Upon approval of that request by the administrative rules coordinator, the division shall conduct a formal review of a specified rule to determine whether a new rule should be adopted or whether the rule should be amended or repealed. The division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conducting the formal review, the credit union division shall prepare within a reasonable time a written report summarizing its findings, its supporting reasons, and any proposed course of action. The report shall comply with Iowa Code section </w:t>
      </w:r>
      <w:hyperlink r:id="rId37">
        <w:r>
          <w:rPr>
            <w:rStyle w:val="Hyperlink"/>
            <w:rFonts w:ascii="Times New Roman" w:hAnsi="Times New Roman"/>
            <w:b w:val="false"/>
            <w:i w:val="false"/>
            <w:color w:val="000000"/>
            <w:sz w:val="22"/>
          </w:rPr>
          <w:t>17A.7(2)</w:t>
        </w:r>
      </w:hyperlink>
      <w:r>
        <w:rPr>
          <w:rFonts w:ascii="Times New Roman" w:hAnsi="Times New Roman"/>
          <w:b w:val="false"/>
          <w:i w:val="false"/>
          <w:color w:val="000000"/>
          <w:sz w:val="22"/>
        </w:rPr>
        <w:t xml:space="preserve">. A copy of the division’s report shall be sent to the administrative rules review committee and the administrative rules coordinator. The report shall also be available for public inspection at the division at the address disclosed in </w:t>
      </w:r>
      <w:hyperlink r:id="rId38">
        <w:r>
          <w:rPr>
            <w:rStyle w:val="Hyperlink"/>
            <w:rFonts w:ascii="Times New Roman" w:hAnsi="Times New Roman"/>
            <w:b w:val="false"/>
            <w:i w:val="false"/>
            <w:color w:val="000000"/>
            <w:sz w:val="22"/>
          </w:rPr>
          <w:t>189—subrule 1.3(1)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8/10/79, Notice 5/30/79—published 9/5/79, effective 10/10/79]</w:t>
      </w:r>
    </w:p>
    <w:p>
      <w:pPr>
        <w:spacing w:before="0" w:after="0"/>
        <w:ind w:left="120"/>
        <w:jc w:val="center"/>
      </w:pPr>
      <w:r>
        <w:rPr>
          <w:rFonts w:ascii="Times New Roman" w:hAnsi="Times New Roman"/>
          <w:b w:val="false"/>
          <w:i w:val="false"/>
          <w:color w:val="000000"/>
          <w:sz w:val="21"/>
        </w:rPr>
        <w:t>[Filed emergency 8/21/86—published 9/10/86, effective 8/21/86]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9/10/03, Notice 8/6/03—published 10/1/03, effective 11/5/03]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ac/rule/189.4.12.pdf" Type="http://schemas.openxmlformats.org/officeDocument/2006/relationships/hyperlink" Id="rId8"/>
    <Relationship TargetMode="External" Target="https://www.legis.iowa.gov/docs/iac/rule/189.1.3.pdf" Type="http://schemas.openxmlformats.org/officeDocument/2006/relationships/hyperlink" Id="rId9"/>
    <Relationship TargetMode="External" Target="https://www.legis.iowa.gov/docs/iac/rule/189.1.4.pdf" Type="http://schemas.openxmlformats.org/officeDocument/2006/relationships/hyperlink" Id="rId10"/>
    <Relationship TargetMode="External" Target="https://www.legis.iowa.gov/docs/iac/rule/189.1.3.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ac/rule/189.1.3.pdf" Type="http://schemas.openxmlformats.org/officeDocument/2006/relationships/hyperlink" Id="rId14"/>
    <Relationship TargetMode="External" Target="https://www.legis.iowa.gov/docs/ico/chapter/17A.4.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ac/rule/189.1.3.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17A.4A.pdf" Type="http://schemas.openxmlformats.org/officeDocument/2006/relationships/hyperlink" Id="rId21"/>
    <Relationship TargetMode="External" Target="https://www.legis.iowa.gov/docs/ico/chapter/17A.4A.pdf" Type="http://schemas.openxmlformats.org/officeDocument/2006/relationships/hyperlink" Id="rId22"/>
    <Relationship TargetMode="External" Target="https://www.legis.iowa.gov/docs/ico/chapter/17A.4A.pdf" Type="http://schemas.openxmlformats.org/officeDocument/2006/relationships/hyperlink" Id="rId23"/>
    <Relationship TargetMode="External" Target="https://www.legis.iowa.gov/docs/ico/chapter/17A.4A.pdf" Type="http://schemas.openxmlformats.org/officeDocument/2006/relationships/hyperlink" Id="rId24"/>
    <Relationship TargetMode="External" Target="https://www.legis.iowa.gov/docs/ico/chapter/25B.6.pdf" Type="http://schemas.openxmlformats.org/officeDocument/2006/relationships/hyperlink" Id="rId25"/>
    <Relationship TargetMode="External" Target="https://www.legis.iowa.gov/docs/iac/rule/189.4.10.pdf" Type="http://schemas.openxmlformats.org/officeDocument/2006/relationships/hyperlink" Id="rId26"/>
    <Relationship TargetMode="External" Target="https://www.legis.iowa.gov/docs/iac/rule/189.1.3.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co/chapter/17A.4.pdf" Type="http://schemas.openxmlformats.org/officeDocument/2006/relationships/hyperlink" Id="rId29"/>
    <Relationship TargetMode="External" Target="https://www.legis.iowa.gov/docs/ico/chapter/17A.4.pdf" Type="http://schemas.openxmlformats.org/officeDocument/2006/relationships/hyperlink" Id="rId30"/>
    <Relationship TargetMode="External" Target="https://www.legis.iowa.gov/docs/iac/rule/189.4.13.pdf" Type="http://schemas.openxmlformats.org/officeDocument/2006/relationships/hyperlink" Id="rId31"/>
    <Relationship TargetMode="External" Target="https://www.legis.iowa.gov/docs/ico/chapter/17A.5.pdf" Type="http://schemas.openxmlformats.org/officeDocument/2006/relationships/hyperlink" Id="rId32"/>
    <Relationship TargetMode="External" Target="https://www.legis.iowa.gov/docs/ico/chapter/17A.5.pdf" Type="http://schemas.openxmlformats.org/officeDocument/2006/relationships/hyperlink" Id="rId33"/>
    <Relationship TargetMode="External" Target="https://www.legis.iowa.gov/docs/ico/chapter/17A.2.pdf" Type="http://schemas.openxmlformats.org/officeDocument/2006/relationships/hyperlink" Id="rId34"/>
    <Relationship TargetMode="External" Target="https://www.legis.iowa.gov/docs/ico/chapter/17A.2.pdf" Type="http://schemas.openxmlformats.org/officeDocument/2006/relationships/hyperlink" Id="rId35"/>
    <Relationship TargetMode="External" Target="https://www.legis.iowa.gov/docs/iac/rule/189.4.16.pdf" Type="http://schemas.openxmlformats.org/officeDocument/2006/relationships/hyperlink" Id="rId36"/>
    <Relationship TargetMode="External" Target="https://www.legis.iowa.gov/docs/ico/chapter/17A.7.pdf" Type="http://schemas.openxmlformats.org/officeDocument/2006/relationships/hyperlink" Id="rId37"/>
    <Relationship TargetMode="External" Target="https://www.legis.iowa.gov/docs/iac/rule/189.1.3.pdf" Type="http://schemas.openxmlformats.org/officeDocument/2006/relationships/hyperlink" Id="rId38"/>
    <Relationship TargetMode="External" Target="https://www.legis.iowa.gov/docs/ico/chapter/17A.4.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