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val="false"/>
          <w:i w:val="false"/>
          <w:color w:val="000000"/>
          <w:sz w:val="22"/>
        </w:rPr>
        <w:t>The credit union division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189—25.1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these rules means the Iowa credit union division.</w:t>
      </w:r>
    </w:p>
    <w:p>
      <w:pPr>
        <w:spacing w:before="0" w:after="0"/>
        <w:ind w:left="120"/>
        <w:jc w:val="both"/>
      </w:pPr>
      <w:r>
        <w:rPr>
          <w:rFonts w:ascii="Times New Roman" w:hAnsi="Times New Roman"/>
          <w:b/>
          <w:i w:val="false"/>
          <w:color w:val="000000"/>
          <w:sz w:val="22"/>
        </w:rPr>
        <w:t>189—25.3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“superintendent”. In lieu of the words “(insert agency name and address)”, insert “Iowa Credit Union Division, 200 E. Grand, Suite 370,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“(specify time period)”, insert “one-half hour”.</w:t>
      </w:r>
    </w:p>
    <w:p>
      <w:pPr>
        <w:spacing w:before="210" w:after="0"/>
        <w:ind w:left="120"/>
        <w:jc w:val="both"/>
      </w:pPr>
      <w:r>
        <w:rPr>
          <w:rFonts w:ascii="Times New Roman" w:hAnsi="Times New Roman"/>
          <w:b/>
          <w:i w:val="false"/>
          <w:color w:val="000000"/>
          <w:sz w:val="22"/>
        </w:rPr>
        <w:t>189—25.6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“Iowa credit union division”.</w:t>
      </w:r>
    </w:p>
    <w:p>
      <w:pPr>
        <w:spacing w:before="0" w:after="0"/>
        <w:ind w:left="120"/>
        <w:jc w:val="both"/>
      </w:pPr>
      <w:r>
        <w:rPr>
          <w:rFonts w:ascii="Times New Roman" w:hAnsi="Times New Roman"/>
          <w:b/>
          <w:i w:val="false"/>
          <w:color w:val="000000"/>
          <w:sz w:val="22"/>
        </w:rPr>
        <w:t>189—25.9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6">
        <w:r>
          <w:rPr>
            <w:rStyle w:val="Hyperlink"/>
            <w:rFonts w:ascii="Times New Roman" w:hAnsi="Times New Roman"/>
            <w:b w:val="false"/>
            <w:i w:val="false"/>
            <w:color w:val="000000"/>
            <w:sz w:val="22"/>
          </w:rPr>
          <w:t>rule 25.10(17A,22)</w:t>
        </w:r>
      </w:hyperlink>
      <w:r>
        <w:rPr>
          <w:rFonts w:ascii="Times New Roman" w:hAnsi="Times New Roman"/>
          <w:b w:val="false"/>
          <w:i w:val="false"/>
          <w:color w:val="000000"/>
          <w:sz w:val="22"/>
        </w:rPr>
        <w:t xml:space="preserve"> or in any notice given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the head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189—25.10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189—25.11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To the extent permitted by law, the subject may consent in writing to agency disclosure of confidential records as provided in rule 189—25.7(17A,22).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189—25.12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w:t>
      </w:r>
      <w:hyperlink r:id="rId9">
        <w:r>
          <w:rPr>
            <w:rStyle w:val="Hyperlink"/>
            <w:rFonts w:ascii="Times New Roman" w:hAnsi="Times New Roman"/>
            <w:b w:val="false"/>
            <w:i w:val="false"/>
            <w:color w:val="000000"/>
            <w:sz w:val="22"/>
          </w:rPr>
          <w:t>rule 25.6(17A,22)</w:t>
        </w:r>
      </w:hyperlink>
      <w:r>
        <w:rPr>
          <w:rFonts w:ascii="Times New Roman" w:hAnsi="Times New Roman"/>
          <w:b w:val="false"/>
          <w:i w:val="false"/>
          <w:color w:val="000000"/>
          <w:sz w:val="22"/>
        </w:rPr>
        <w:t>.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subsection </w:t>
      </w:r>
      <w:hyperlink r:id="rId1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subsection </w:t>
      </w:r>
      <w:hyperlink r:id="rId11">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189—25.13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2">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subsection </w:t>
      </w:r>
      <w:hyperlink r:id="rId15">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subsection </w:t>
      </w:r>
      <w:hyperlink r:id="rId1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17">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papers, documents, reports, reports of examinations and other writings relating specifically to the supervision and regulation of any state credit union or other person by the superintendent of credit unions pursuant to the laws of this state. (Iowa Code section </w:t>
      </w:r>
      <w:hyperlink r:id="rId19">
        <w:r>
          <w:rPr>
            <w:rStyle w:val="Hyperlink"/>
            <w:rFonts w:ascii="Times New Roman" w:hAnsi="Times New Roman"/>
            <w:b w:val="false"/>
            <w:i w:val="false"/>
            <w:color w:val="000000"/>
            <w:sz w:val="22"/>
          </w:rPr>
          <w:t>533.108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of examinations conducted by the superintendent of credit unions and reports of examinations received by or furnished to the superintendent of credit unions pursuant to Iowa Code section </w:t>
      </w:r>
      <w:hyperlink r:id="rId20">
        <w:r>
          <w:rPr>
            <w:rStyle w:val="Hyperlink"/>
            <w:rFonts w:ascii="Times New Roman" w:hAnsi="Times New Roman"/>
            <w:b w:val="false"/>
            <w:i w:val="false"/>
            <w:color w:val="000000"/>
            <w:sz w:val="22"/>
          </w:rPr>
          <w:t>533.113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and material in the public file of applications filed with the superintendent pursuant to </w:t>
      </w:r>
      <w:hyperlink r:id="rId21">
        <w:r>
          <w:rPr>
            <w:rStyle w:val="Hyperlink"/>
            <w:rFonts w:ascii="Times New Roman" w:hAnsi="Times New Roman"/>
            <w:b w:val="false"/>
            <w:i w:val="false"/>
            <w:color w:val="000000"/>
            <w:sz w:val="22"/>
          </w:rPr>
          <w:t>rule 2.12(17A)</w:t>
        </w:r>
      </w:hyperlink>
      <w:r>
        <w:rPr>
          <w:rFonts w:ascii="Times New Roman" w:hAnsi="Times New Roman"/>
          <w:b w:val="false"/>
          <w:i w:val="false"/>
          <w:color w:val="000000"/>
          <w:sz w:val="22"/>
        </w:rPr>
        <w:t xml:space="preserve"> deemed by the superintendent to be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information obtained by examiners and described in Iowa Code section </w:t>
      </w:r>
      <w:hyperlink r:id="rId22">
        <w:r>
          <w:rPr>
            <w:rStyle w:val="Hyperlink"/>
            <w:rFonts w:ascii="Times New Roman" w:hAnsi="Times New Roman"/>
            <w:b w:val="false"/>
            <w:i w:val="false"/>
            <w:color w:val="000000"/>
            <w:sz w:val="22"/>
          </w:rPr>
          <w:t>533.108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reports, materials, documents, information and other writings obtained from the National Credit Union Administration or authorized account insurer (Iowa Code section </w:t>
      </w:r>
      <w:hyperlink r:id="rId23">
        <w:r>
          <w:rPr>
            <w:rStyle w:val="Hyperlink"/>
            <w:rFonts w:ascii="Times New Roman" w:hAnsi="Times New Roman"/>
            <w:b w:val="false"/>
            <w:i w:val="false"/>
            <w:color w:val="000000"/>
            <w:sz w:val="22"/>
          </w:rPr>
          <w:t>533.307</w:t>
        </w:r>
      </w:hyperlink>
      <w:r>
        <w:rPr>
          <w:rFonts w:ascii="Times New Roman" w:hAnsi="Times New Roman"/>
          <w:b w:val="false"/>
          <w:i w:val="false"/>
          <w:color w:val="000000"/>
          <w:sz w:val="22"/>
        </w:rPr>
        <w:t xml:space="preserve">), Federal Reserve Bank, Comptroller of the Currency or any agency of the United States government which would cause the denial of services or information to the agency. (Iowa Code section </w:t>
      </w:r>
      <w:hyperlink r:id="rId2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the Privacy Act of 1974 (U.S.C. 522a); and Part 790 of the National Credit Union Administration Rules and Regulations, 12 CFR 790, August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personnel records which are confidential under Iowa Code sections </w:t>
      </w:r>
      <w:hyperlink r:id="rId2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19A.9</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19A.15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8">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3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other information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3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25.4(17A,22). If the agency initially determines that it will release such records, the agency may, where appropriate, notify interested parties and withhold the records from inspection as provided in subrule 25.4(3).</w:t>
      </w:r>
    </w:p>
    <w:p>
      <w:pPr>
        <w:spacing w:before="210" w:after="0"/>
        <w:ind w:left="120"/>
        <w:jc w:val="both"/>
      </w:pPr>
      <w:r>
        <w:rPr>
          <w:rFonts w:ascii="Times New Roman" w:hAnsi="Times New Roman"/>
          <w:b/>
          <w:i w:val="false"/>
          <w:color w:val="000000"/>
          <w:sz w:val="22"/>
        </w:rPr>
        <w:t>189—25.14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w:t>
      </w:r>
      <w:hyperlink r:id="rId34">
        <w:r>
          <w:rPr>
            <w:rStyle w:val="Hyperlink"/>
            <w:rFonts w:ascii="Times New Roman" w:hAnsi="Times New Roman"/>
            <w:b w:val="false"/>
            <w:i w:val="false"/>
            <w:color w:val="000000"/>
            <w:sz w:val="22"/>
          </w:rPr>
          <w:t>rule 189—25.1(17A,22)</w:t>
        </w:r>
      </w:hyperlink>
      <w:r>
        <w:rPr>
          <w:rFonts w:ascii="Times New Roman" w:hAnsi="Times New Roman"/>
          <w:b w:val="false"/>
          <w:i w:val="false"/>
          <w:color w:val="000000"/>
          <w:sz w:val="22"/>
        </w:rPr>
        <w:t xml:space="preserve">. The credit union division does not currently have a data processing system which matches, collates, or permits the comparison of personally identifiable information in another record system. The record systems maintained by the agency which may contain personally identifiable information are the files of current and former agency employees. This information is collected pursuant to Iowa Code section </w:t>
      </w:r>
      <w:hyperlink r:id="rId35">
        <w:r>
          <w:rPr>
            <w:rStyle w:val="Hyperlink"/>
            <w:rFonts w:ascii="Times New Roman" w:hAnsi="Times New Roman"/>
            <w:b w:val="false"/>
            <w:i w:val="false"/>
            <w:color w:val="000000"/>
            <w:sz w:val="22"/>
          </w:rPr>
          <w:t>533.106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189—25.15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record systems as defined in </w:t>
      </w:r>
      <w:hyperlink r:id="rId36">
        <w:r>
          <w:rPr>
            <w:rStyle w:val="Hyperlink"/>
            <w:rFonts w:ascii="Times New Roman" w:hAnsi="Times New Roman"/>
            <w:b w:val="false"/>
            <w:i w:val="false"/>
            <w:color w:val="000000"/>
            <w:sz w:val="22"/>
          </w:rPr>
          <w:t>rule 189—25.1(17A,22)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as discussed in </w:t>
      </w:r>
      <w:hyperlink r:id="rId37">
        <w:r>
          <w:rPr>
            <w:rStyle w:val="Hyperlink"/>
            <w:rFonts w:ascii="Times New Roman" w:hAnsi="Times New Roman"/>
            <w:b w:val="false"/>
            <w:i w:val="false"/>
            <w:color w:val="000000"/>
            <w:sz w:val="22"/>
          </w:rPr>
          <w:t>rule 25.13(17A,22)</w:t>
        </w:r>
      </w:hyperlink>
      <w:r>
        <w:rPr>
          <w:rFonts w:ascii="Times New Roman" w:hAnsi="Times New Roman"/>
          <w:b w:val="false"/>
          <w:i w:val="false"/>
          <w:color w:val="000000"/>
          <w:sz w:val="22"/>
        </w:rPr>
        <w:t xml:space="preserve">. In addition, the records listed in </w:t>
      </w:r>
      <w:hyperlink r:id="rId38">
        <w:r>
          <w:rPr>
            <w:rStyle w:val="Hyperlink"/>
            <w:rFonts w:ascii="Times New Roman" w:hAnsi="Times New Roman"/>
            <w:b w:val="false"/>
            <w:i w:val="false"/>
            <w:color w:val="000000"/>
            <w:sz w:val="22"/>
          </w:rPr>
          <w:t>subrules 25.15(1)</w:t>
        </w:r>
      </w:hyperlink>
      <w:r>
        <w:rPr>
          <w:rFonts w:ascii="Times New Roman" w:hAnsi="Times New Roman"/>
          <w:b w:val="false"/>
          <w:i w:val="false"/>
          <w:color w:val="000000"/>
          <w:sz w:val="22"/>
        </w:rPr>
        <w:t xml:space="preserve"> to </w:t>
      </w:r>
      <w:hyperlink r:id="rId39">
        <w:r>
          <w:rPr>
            <w:rStyle w:val="Hyperlink"/>
            <w:rFonts w:ascii="Times New Roman" w:hAnsi="Times New Roman"/>
            <w:b w:val="false"/>
            <w:i w:val="false"/>
            <w:color w:val="000000"/>
            <w:sz w:val="22"/>
          </w:rPr>
          <w:t>25.15(4)</w:t>
        </w:r>
      </w:hyperlink>
      <w:r>
        <w:rPr>
          <w:rFonts w:ascii="Times New Roman" w:hAnsi="Times New Roman"/>
          <w:b w:val="false"/>
          <w:i w:val="false"/>
          <w:color w:val="000000"/>
          <w:sz w:val="22"/>
        </w:rPr>
        <w:t xml:space="preserve"> may contain information about individuals. All records are stored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40">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25.15(2)</w:t>
      </w:r>
      <w:r>
        <w:rPr>
          <w:rFonts w:ascii="Times New Roman" w:hAnsi="Times New Roman"/>
          <w:b w:val="false"/>
          <w:i w:val="false"/>
          <w:color w:val="000000"/>
          <w:sz w:val="22"/>
        </w:rPr>
        <w:t> </w:t>
      </w:r>
      <w:r>
        <w:rPr>
          <w:rFonts w:ascii="Times New Roman" w:hAnsi="Times New Roman"/>
          <w:b w:val="false"/>
          <w:i/>
          <w:color w:val="000000"/>
          <w:sz w:val="22"/>
        </w:rPr>
        <w:t xml:space="preserve">Credit union review board records. </w:t>
      </w:r>
      <w:r>
        <w:rPr>
          <w:rFonts w:ascii="Times New Roman" w:hAnsi="Times New Roman"/>
          <w:b w:val="false"/>
          <w:i w:val="false"/>
          <w:color w:val="000000"/>
          <w:sz w:val="22"/>
        </w:rPr>
        <w:t xml:space="preserve">Agendas, minutes, and materials presented to the credit union review board are available from the office of the credit union division, except those records concerning closed sessions which are exempt from disclosure under Iowa Code section </w:t>
      </w:r>
      <w:hyperlink r:id="rId41">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Credit union review board records contain information about people who participate in meetings. This information is collected pursuant to Iowa Code section </w:t>
      </w:r>
      <w:hyperlink r:id="rId42">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etc., are available from the office of the credit union division.</w:t>
      </w:r>
    </w:p>
    <w:p>
      <w:pPr>
        <w:spacing w:before="0" w:after="0"/>
        <w:ind w:left="120"/>
        <w:jc w:val="both"/>
      </w:pPr>
      <w:r>
        <w:rPr>
          <w:rFonts w:ascii="Times New Roman" w:hAnsi="Times New Roman"/>
          <w:b w:val="false"/>
          <w:i w:val="false"/>
          <w:color w:val="000000"/>
          <w:sz w:val="22"/>
        </w:rPr>
        <w:t>Agency news releases, project reports, and newsletters may contain information about individuals, including agency staff or members of agency councils or committees.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w:t>
      </w:r>
      <w:r>
        <w:rPr>
          <w:rFonts w:ascii="Times New Roman" w:hAnsi="Times New Roman"/>
          <w:b w:val="false"/>
          <w:i w:val="false"/>
          <w:color w:val="000000"/>
          <w:sz w:val="22"/>
        </w:rPr>
        <w:t> </w:t>
      </w:r>
      <w:r>
        <w:rPr>
          <w:rFonts w:ascii="Times New Roman" w:hAnsi="Times New Roman"/>
          <w:b w:val="false"/>
          <w:i/>
          <w:color w:val="000000"/>
          <w:sz w:val="22"/>
        </w:rPr>
        <w:t xml:space="preserve">Orders issued by the superintendent. </w:t>
      </w:r>
      <w:r>
        <w:rPr>
          <w:rFonts w:ascii="Times New Roman" w:hAnsi="Times New Roman"/>
          <w:b w:val="false"/>
          <w:i w:val="false"/>
          <w:color w:val="000000"/>
          <w:sz w:val="22"/>
        </w:rPr>
        <w:t xml:space="preserve">All findings of fact, conclusions of law, and orders issued by the superintendent of credit unions subsequent to a public hearing under the provisions of Iowa Code chapter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These records may contain information about individuals making written or oral comments at the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agency’s employees’ manual, containing the policies and procedures for programs administered by the agency, is available in the office of the agency. Subscriptions to all or part of the employees’ manual are available at the cost of production and handling. Requests for subscription information should be addressed to Iowa Credit Union Division, 200 E. Grand Avenue, Suite 370, Des Moines, Iowa 50309.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25.15(7)</w:t>
      </w:r>
      <w:r>
        <w:rPr>
          <w:rFonts w:ascii="Times New Roman" w:hAnsi="Times New Roman"/>
          <w:b w:val="false"/>
          <w:i w:val="false"/>
          <w:color w:val="000000"/>
          <w:sz w:val="22"/>
        </w:rPr>
        <w:t> </w:t>
      </w:r>
      <w:r>
        <w:rPr>
          <w:rFonts w:ascii="Times New Roman" w:hAnsi="Times New Roman"/>
          <w:b w:val="false"/>
          <w:i/>
          <w:color w:val="000000"/>
          <w:sz w:val="22"/>
        </w:rPr>
        <w:t xml:space="preserve">Reports to superintendent. </w:t>
      </w:r>
      <w:r>
        <w:rPr>
          <w:rFonts w:ascii="Times New Roman" w:hAnsi="Times New Roman"/>
          <w:b w:val="false"/>
          <w:i w:val="false"/>
          <w:color w:val="000000"/>
          <w:sz w:val="22"/>
        </w:rPr>
        <w:t xml:space="preserve">Reports obtained by the superintendent of credit unions pursuant to the provisions of Iowa Code section </w:t>
      </w:r>
      <w:hyperlink r:id="rId44">
        <w:r>
          <w:rPr>
            <w:rStyle w:val="Hyperlink"/>
            <w:rFonts w:ascii="Times New Roman" w:hAnsi="Times New Roman"/>
            <w:b w:val="false"/>
            <w:i w:val="false"/>
            <w:color w:val="000000"/>
            <w:sz w:val="22"/>
          </w:rPr>
          <w:t>533.330</w:t>
        </w:r>
      </w:hyperlink>
      <w:r>
        <w:rPr>
          <w:rFonts w:ascii="Times New Roman" w:hAnsi="Times New Roman"/>
          <w:b w:val="false"/>
          <w:i w:val="false"/>
          <w:color w:val="000000"/>
          <w:sz w:val="22"/>
        </w:rPr>
        <w:t>. These reports are considered open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25.15(8)</w:t>
      </w:r>
      <w:r>
        <w:rPr>
          <w:rFonts w:ascii="Times New Roman" w:hAnsi="Times New Roman"/>
          <w:b w:val="false"/>
          <w:i w:val="false"/>
          <w:color w:val="000000"/>
          <w:sz w:val="22"/>
        </w:rPr>
        <w:t> </w:t>
      </w:r>
      <w:r>
        <w:rPr>
          <w:rFonts w:ascii="Times New Roman" w:hAnsi="Times New Roman"/>
          <w:b w:val="false"/>
          <w:i/>
          <w:color w:val="000000"/>
          <w:sz w:val="22"/>
        </w:rPr>
        <w:t xml:space="preserve">Officers, directors and shareholders. </w:t>
      </w:r>
      <w:r>
        <w:rPr>
          <w:rFonts w:ascii="Times New Roman" w:hAnsi="Times New Roman"/>
          <w:b w:val="false"/>
          <w:i w:val="false"/>
          <w:color w:val="000000"/>
          <w:sz w:val="22"/>
        </w:rPr>
        <w:t xml:space="preserve">Lists filed with the superintendent of credit unions pursuant to the provisions of Iowa Code section </w:t>
      </w:r>
      <w:hyperlink r:id="rId45">
        <w:r>
          <w:rPr>
            <w:rStyle w:val="Hyperlink"/>
            <w:rFonts w:ascii="Times New Roman" w:hAnsi="Times New Roman"/>
            <w:b w:val="false"/>
            <w:i w:val="false"/>
            <w:color w:val="000000"/>
            <w:sz w:val="22"/>
          </w:rPr>
          <w:t>533.204</w:t>
        </w:r>
      </w:hyperlink>
      <w:r>
        <w:rPr>
          <w:rFonts w:ascii="Times New Roman" w:hAnsi="Times New Roman"/>
          <w:b w:val="false"/>
          <w:i w:val="false"/>
          <w:color w:val="000000"/>
          <w:sz w:val="22"/>
        </w:rPr>
        <w:t>. These reports are considered open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25.15(9)</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8/5/88, Notice 5/18/88—published 8/24/88, effective 9/30/88]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189.25.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189.25.6.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422.72.pdf" Type="http://schemas.openxmlformats.org/officeDocument/2006/relationships/hyperlink" Id="rId12"/>
    <Relationship TargetMode="External" Target="https://www.legis.iowa.gov/docs/ico/chapter/422.20.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1.5.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17A.2.pdf" Type="http://schemas.openxmlformats.org/officeDocument/2006/relationships/hyperlink" Id="rId17"/>
    <Relationship TargetMode="External" Target="https://www.legis.iowa.gov/docs/ico/chapter/17A.3.pdf" Type="http://schemas.openxmlformats.org/officeDocument/2006/relationships/hyperlink" Id="rId18"/>
    <Relationship TargetMode="External" Target="https://www.legis.iowa.gov/docs/ico/chapter/533.108.pdf" Type="http://schemas.openxmlformats.org/officeDocument/2006/relationships/hyperlink" Id="rId19"/>
    <Relationship TargetMode="External" Target="https://www.legis.iowa.gov/docs/ico/chapter/533.113.pdf" Type="http://schemas.openxmlformats.org/officeDocument/2006/relationships/hyperlink" Id="rId20"/>
    <Relationship TargetMode="External" Target="https://www.legis.iowa.gov/docs/iac/rule/189.2.12.pdf" Type="http://schemas.openxmlformats.org/officeDocument/2006/relationships/hyperlink" Id="rId21"/>
    <Relationship TargetMode="External" Target="https://www.legis.iowa.gov/docs/ico/chapter/533.108.pdf" Type="http://schemas.openxmlformats.org/officeDocument/2006/relationships/hyperlink" Id="rId22"/>
    <Relationship TargetMode="External" Target="https://www.legis.iowa.gov/docs/ico/chapter/533.307.pdf" Type="http://schemas.openxmlformats.org/officeDocument/2006/relationships/hyperlink" Id="rId23"/>
    <Relationship TargetMode="External" Target="https://www.legis.iowa.gov/docs/ico/chapter/22.9.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19A.15.pdf" Type="http://schemas.openxmlformats.org/officeDocument/2006/relationships/hyperlink" Id="rId26"/>
    <Relationship TargetMode="External" Target="https://www.legis.iowa.gov/docs/ico/chapter/19A.15.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622.10.pdf" Type="http://schemas.openxmlformats.org/officeDocument/2006/relationships/hyperlink" Id="rId29"/>
    <Relationship TargetMode="External" Target="https://www.legis.iowa.gov/docs/ico/chapter/622.11.pdf" Type="http://schemas.openxmlformats.org/officeDocument/2006/relationships/hyperlink" Id="rId30"/>
    <Relationship TargetMode="External" Target="https://www.legis.iowa.gov/docs/ico/chapter/622.10.pdf" Type="http://schemas.openxmlformats.org/officeDocument/2006/relationships/hyperlink" Id="rId31"/>
    <Relationship TargetMode="External" Target="https://www.legis.iowa.gov/docs/ico/chapter/622.11.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ac/rule/189.25.1.pdf" Type="http://schemas.openxmlformats.org/officeDocument/2006/relationships/hyperlink" Id="rId34"/>
    <Relationship TargetMode="External" Target="https://www.legis.iowa.gov/docs/ico/chapter/533.106.pdf" Type="http://schemas.openxmlformats.org/officeDocument/2006/relationships/hyperlink" Id="rId35"/>
    <Relationship TargetMode="External" Target="https://www.legis.iowa.gov/docs/iac/rule/189.25.1.pdf" Type="http://schemas.openxmlformats.org/officeDocument/2006/relationships/hyperlink" Id="rId36"/>
    <Relationship TargetMode="External" Target="https://www.legis.iowa.gov/docs/iac/rule/189.25.13.pdf" Type="http://schemas.openxmlformats.org/officeDocument/2006/relationships/hyperlink" Id="rId37"/>
    <Relationship TargetMode="External" Target="https://www.legis.iowa.gov/docs/iac/rule/189.25.15.pdf" Type="http://schemas.openxmlformats.org/officeDocument/2006/relationships/hyperlink" Id="rId38"/>
    <Relationship TargetMode="External" Target="https://www.legis.iowa.gov/docs/iac/rule/189.25.15.pdf" Type="http://schemas.openxmlformats.org/officeDocument/2006/relationships/hyperlink" Id="rId39"/>
    <Relationship TargetMode="External" Target="https://www.legis.iowa.gov/docs/ico/chapter/17A.4.pdf" Type="http://schemas.openxmlformats.org/officeDocument/2006/relationships/hyperlink" Id="rId40"/>
    <Relationship TargetMode="External" Target="https://www.legis.iowa.gov/docs/ico/chapter/21.5.pdf" Type="http://schemas.openxmlformats.org/officeDocument/2006/relationships/hyperlink" Id="rId41"/>
    <Relationship TargetMode="External" Target="https://www.legis.iowa.gov/docs/ico/chapter/21.3.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533.330.pdf" Type="http://schemas.openxmlformats.org/officeDocument/2006/relationships/hyperlink" Id="rId44"/>
    <Relationship TargetMode="External" Target="https://www.legis.iowa.gov/docs/ico/chapter/533.204.pdf" Type="http://schemas.openxmlformats.org/officeDocument/2006/relationships/hyperlink" Id="rId45"/>
    <Relationship TargetMode="External" Target="https://www.legis.iowa.gov/docs/ico/chapter/22.11.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