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2/21/90, see 189—Chapter 14.</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189—22.1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Except when inconsistent with Iowa Code chapter </w:t>
      </w:r>
      <w:hyperlink r:id="rId5">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this chapter applies to contested case proceedings conducted by the credit union division.</w:t>
      </w:r>
    </w:p>
    <w:p>
      <w:pPr>
        <w:spacing w:before="0" w:after="0"/>
        <w:ind w:left="120"/>
        <w:jc w:val="both"/>
      </w:pPr>
      <w:r>
        <w:rPr>
          <w:rFonts w:ascii="Times New Roman" w:hAnsi="Times New Roman"/>
          <w:b/>
          <w:i w:val="false"/>
          <w:color w:val="000000"/>
          <w:sz w:val="22"/>
        </w:rPr>
        <w:t>189—22.2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superintendent of credit unions, the superintendent’s designee or, under certain circumstances,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superintendent did not preside.</w:t>
      </w:r>
    </w:p>
    <w:p>
      <w:pPr>
        <w:spacing w:before="0" w:after="0"/>
        <w:ind w:left="120"/>
        <w:jc w:val="both"/>
      </w:pPr>
      <w:r>
        <w:rPr>
          <w:rFonts w:ascii="Times New Roman" w:hAnsi="Times New Roman"/>
          <w:b/>
          <w:i w:val="false"/>
          <w:color w:val="000000"/>
          <w:sz w:val="22"/>
        </w:rPr>
        <w:t>189—22.3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189—22.4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division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division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189—22.5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division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division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superintendent, superintendent’s designee, administrative law judge from the department of inspections and appeals);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15(1), and rule </w:t>
      </w:r>
      <w:hyperlink r:id="rId8">
        <w:r>
          <w:rPr>
            <w:rStyle w:val="Hyperlink"/>
            <w:rFonts w:ascii="Times New Roman" w:hAnsi="Times New Roman"/>
            <w:b w:val="false"/>
            <w:i w:val="false"/>
            <w:color w:val="000000"/>
            <w:sz w:val="22"/>
          </w:rPr>
          <w:t>22.6</w:t>
        </w:r>
      </w:hyperlink>
      <w:r>
        <w:rPr>
          <w:rFonts w:ascii="Times New Roman" w:hAnsi="Times New Roman"/>
          <w:b w:val="false"/>
          <w:i w:val="false"/>
          <w:color w:val="000000"/>
          <w:sz w:val="22"/>
        </w:rPr>
        <w:t>(17A), that the presiding officer be an administrative law judge.</w:t>
      </w:r>
    </w:p>
    <w:p>
      <w:pPr>
        <w:spacing w:before="0" w:after="0"/>
        <w:ind w:left="120"/>
        <w:jc w:val="both"/>
      </w:pPr>
      <w:r>
        <w:rPr>
          <w:rFonts w:ascii="Times New Roman" w:hAnsi="Times New Roman"/>
          <w:b/>
          <w:i w:val="false"/>
          <w:color w:val="000000"/>
          <w:sz w:val="22"/>
        </w:rPr>
        <w:t>189—22.6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division head or members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division nor any officer of the division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hyperlink r:id="rId9">
        <w:r>
          <w:rPr>
            <w:rStyle w:val="Hyperlink"/>
            <w:rFonts w:ascii="Times New Roman" w:hAnsi="Times New Roman"/>
            <w:b w:val="false"/>
            <w:i w:val="false"/>
            <w:color w:val="000000"/>
            <w:sz w:val="22"/>
          </w:rPr>
          <w:t>22.6(4)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interdivision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issue a written ruling specifying the grounds for the decision within 20 days after a request for an administrative law judge is filed. If the ruling is contingent upon the availability of an administrative law judge with the qualifications identified in subrule </w:t>
      </w:r>
      <w:hyperlink r:id="rId10">
        <w:r>
          <w:rPr>
            <w:rStyle w:val="Hyperlink"/>
            <w:rFonts w:ascii="Times New Roman" w:hAnsi="Times New Roman"/>
            <w:b w:val="false"/>
            <w:i w:val="false"/>
            <w:color w:val="000000"/>
            <w:sz w:val="22"/>
          </w:rPr>
          <w:t>22.6(4)</w:t>
        </w:r>
      </w:hyperlink>
      <w:r>
        <w:rPr>
          <w:rFonts w:ascii="Times New Roman" w:hAnsi="Times New Roman"/>
          <w:b w:val="false"/>
          <w:i w:val="false"/>
          <w:color w:val="000000"/>
          <w:sz w:val="22"/>
        </w:rPr>
        <w:t>,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assigned to act as presiding officer shall have the following technical expertness unless waived by the division: An administrative law judge shall have had at least five years’ experience as an executive officer in a credit union or in the regulation or examination of credit unions.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superintendent. A party must seek any available intradivision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superintendent when reviewing a proposed decision upon intradivision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189—22.7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division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189—22.8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189—22.9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division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19, and subrules </w:t>
      </w:r>
      <w:hyperlink r:id="rId12">
        <w:r>
          <w:rPr>
            <w:rStyle w:val="Hyperlink"/>
            <w:rFonts w:ascii="Times New Roman" w:hAnsi="Times New Roman"/>
            <w:b w:val="false"/>
            <w:i w:val="false"/>
            <w:color w:val="000000"/>
            <w:sz w:val="22"/>
          </w:rPr>
          <w:t>22.9(3)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4">
        <w:r>
          <w:rPr>
            <w:rStyle w:val="Hyperlink"/>
            <w:rFonts w:ascii="Times New Roman" w:hAnsi="Times New Roman"/>
            <w:b w:val="false"/>
            <w:i w:val="false"/>
            <w:color w:val="000000"/>
            <w:sz w:val="22"/>
          </w:rPr>
          <w:t>22.9(1)</w:t>
        </w:r>
      </w:hyperlink>
      <w:r>
        <w:rPr>
          <w:rFonts w:ascii="Times New Roman" w:hAnsi="Times New Roman"/>
          <w:b w:val="false"/>
          <w:i w:val="false"/>
          <w:color w:val="000000"/>
          <w:sz w:val="22"/>
        </w:rPr>
        <w:t xml:space="preserve">, the party shall file a motion supported by an affidavit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19(7).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5">
        <w:r>
          <w:rPr>
            <w:rStyle w:val="Hyperlink"/>
            <w:rFonts w:ascii="Times New Roman" w:hAnsi="Times New Roman"/>
            <w:b w:val="false"/>
            <w:i w:val="false"/>
            <w:color w:val="000000"/>
            <w:sz w:val="22"/>
          </w:rPr>
          <w:t>22.25</w:t>
        </w:r>
      </w:hyperlink>
      <w:r>
        <w:rPr>
          <w:rFonts w:ascii="Times New Roman" w:hAnsi="Times New Roman"/>
          <w:b w:val="false"/>
          <w:i w:val="false"/>
          <w:color w:val="000000"/>
          <w:sz w:val="22"/>
        </w:rPr>
        <w:t xml:space="preserve">(17A) and seek a stay under rule </w:t>
      </w:r>
      <w:hyperlink r:id="rId16">
        <w:r>
          <w:rPr>
            <w:rStyle w:val="Hyperlink"/>
            <w:rFonts w:ascii="Times New Roman" w:hAnsi="Times New Roman"/>
            <w:b w:val="false"/>
            <w:i w:val="false"/>
            <w:color w:val="000000"/>
            <w:sz w:val="22"/>
          </w:rPr>
          <w:t>22.29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189—22.10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189—22.11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petition in a contested case proceeding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shall be filed within 20 days of service of a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189—22.12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division, simultaneously with their filing. Except for the original notice of hearing and an application for rehearing as provided in Iowa Code section </w:t>
      </w:r>
      <w:hyperlink r:id="rId17">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Credit Union Division, Attn: Contested Case Coordinator, 200 East Grand Ave., Suite 370, Des Moines, Iowa 50309-1827. All pleadings, motions, documents or other papers that are required to be served upon a party shall be filed simultaneously with the credit union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credit union division,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5348"/>
        <w:gridCol w:w="5347"/>
      </w:tblGrid>
      <w:tr>
        <w:trPr>
          <w:trHeight w:val="144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Credit Union Division, Attn: Contested Case Coordinator, 200 East Grand Ave., Suite 370, Des Moines, Iowa 50309-1827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5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189—22.13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18">
        <w:r>
          <w:rPr>
            <w:rStyle w:val="Hyperlink"/>
            <w:rFonts w:ascii="Times New Roman" w:hAnsi="Times New Roman"/>
            <w:b w:val="false"/>
            <w:i w:val="false"/>
            <w:color w:val="000000"/>
            <w:sz w:val="22"/>
          </w:rPr>
          <w:t>22.13(1)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189—22.14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division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189—22.15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division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division or an order of the presiding officer.</w:t>
      </w:r>
    </w:p>
    <w:p>
      <w:pPr>
        <w:spacing w:before="0" w:after="0"/>
        <w:ind w:left="120"/>
        <w:jc w:val="both"/>
      </w:pPr>
      <w:r>
        <w:rPr>
          <w:rFonts w:ascii="Times New Roman" w:hAnsi="Times New Roman"/>
          <w:b/>
          <w:i w:val="false"/>
          <w:color w:val="000000"/>
          <w:sz w:val="22"/>
        </w:rPr>
        <w:t>189—22.16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19">
        <w:r>
          <w:rPr>
            <w:rStyle w:val="Hyperlink"/>
            <w:rFonts w:ascii="Times New Roman" w:hAnsi="Times New Roman"/>
            <w:b w:val="false"/>
            <w:i w:val="false"/>
            <w:color w:val="000000"/>
            <w:sz w:val="22"/>
          </w:rPr>
          <w:t>22.16(2)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189—22.17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division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189—22.18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division rules. Unless otherwise provided, a withdrawal shall be with prejudice.</w:t>
      </w:r>
    </w:p>
    <w:p>
      <w:pPr>
        <w:spacing w:before="0" w:after="0"/>
        <w:ind w:left="120"/>
        <w:jc w:val="both"/>
      </w:pPr>
      <w:r>
        <w:rPr>
          <w:rFonts w:ascii="Times New Roman" w:hAnsi="Times New Roman"/>
          <w:b/>
          <w:i w:val="false"/>
          <w:color w:val="000000"/>
          <w:sz w:val="22"/>
        </w:rPr>
        <w:t>189—22.19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189—22.20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189—22.21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189—22.22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division action unless, within 15 days after the date of notification or mailing of the decision, a motion to vacate is filed and served on all parties or an appeal of a decision on the merits is timely initiated within the time provided by rule </w:t>
      </w:r>
      <w:hyperlink r:id="rId20">
        <w:r>
          <w:rPr>
            <w:rStyle w:val="Hyperlink"/>
            <w:rFonts w:ascii="Times New Roman" w:hAnsi="Times New Roman"/>
            <w:b w:val="false"/>
            <w:i w:val="false"/>
            <w:color w:val="000000"/>
            <w:sz w:val="22"/>
          </w:rPr>
          <w:t>22.27</w:t>
        </w:r>
      </w:hyperlink>
      <w:r>
        <w:rPr>
          <w:rFonts w:ascii="Times New Roman" w:hAnsi="Times New Roman"/>
          <w:b w:val="false"/>
          <w:i w:val="false"/>
          <w:color w:val="000000"/>
          <w:sz w:val="22"/>
        </w:rPr>
        <w:t>(17A).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21">
        <w:r>
          <w:rPr>
            <w:rStyle w:val="Hyperlink"/>
            <w:rFonts w:ascii="Times New Roman" w:hAnsi="Times New Roman"/>
            <w:b w:val="false"/>
            <w:i w:val="false"/>
            <w:color w:val="000000"/>
            <w:sz w:val="22"/>
          </w:rPr>
          <w:t>rule 22.25(17A)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22">
        <w:r>
          <w:rPr>
            <w:rStyle w:val="Hyperlink"/>
            <w:rFonts w:ascii="Times New Roman" w:hAnsi="Times New Roman"/>
            <w:b w:val="false"/>
            <w:i w:val="false"/>
            <w:color w:val="000000"/>
            <w:sz w:val="22"/>
          </w:rPr>
          <w:t>rule 22.29(17A)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189—22.23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division or seeking the advice or help of persons other than those with a personal interest in, or those engaged in personally investigating as defined in subrule </w:t>
      </w:r>
      <w:hyperlink r:id="rId23">
        <w:r>
          <w:rPr>
            <w:rStyle w:val="Hyperlink"/>
            <w:rFonts w:ascii="Times New Roman" w:hAnsi="Times New Roman"/>
            <w:b w:val="false"/>
            <w:i w:val="false"/>
            <w:color w:val="000000"/>
            <w:sz w:val="22"/>
          </w:rPr>
          <w:t>22.9(2)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24">
        <w:r>
          <w:rPr>
            <w:rStyle w:val="Hyperlink"/>
            <w:rFonts w:ascii="Times New Roman" w:hAnsi="Times New Roman"/>
            <w:b w:val="false"/>
            <w:i w:val="false"/>
            <w:color w:val="000000"/>
            <w:sz w:val="22"/>
          </w:rPr>
          <w:t>22.12(17A)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25">
        <w:r>
          <w:rPr>
            <w:rStyle w:val="Hyperlink"/>
            <w:rFonts w:ascii="Times New Roman" w:hAnsi="Times New Roman"/>
            <w:b w:val="false"/>
            <w:i w:val="false"/>
            <w:color w:val="000000"/>
            <w:sz w:val="22"/>
          </w:rPr>
          <w:t>22.23(1)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26">
        <w:r>
          <w:rPr>
            <w:rStyle w:val="Hyperlink"/>
            <w:rFonts w:ascii="Times New Roman" w:hAnsi="Times New Roman"/>
            <w:b w:val="false"/>
            <w:i w:val="false"/>
            <w:color w:val="000000"/>
            <w:sz w:val="22"/>
          </w:rPr>
          <w:t>22.17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7">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division. Violation of ex parte communication prohibitions by division personnel shall be reported to the superintendent for possible sanctions including censure, suspension, dismissal, or other disciplinary action.</w:t>
      </w:r>
    </w:p>
    <w:p>
      <w:pPr>
        <w:spacing w:before="0" w:after="0"/>
        <w:ind w:left="120"/>
        <w:jc w:val="both"/>
      </w:pPr>
      <w:r>
        <w:rPr>
          <w:rFonts w:ascii="Times New Roman" w:hAnsi="Times New Roman"/>
          <w:b/>
          <w:i w:val="false"/>
          <w:color w:val="000000"/>
          <w:sz w:val="22"/>
        </w:rPr>
        <w:t>189—22.24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division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189—22.25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superintendent may review an interlocutory order of the presiding officer. In determining whether to do so, the superintendent shall weigh the extent to which its granting the interlocutory appeal would expedite final resolution of the case and the extent to which review of that interlocutory order by the division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189—22.26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w:t>
      </w:r>
      <w:r>
        <w:rPr>
          <w:rFonts w:ascii="Times New Roman" w:hAnsi="Times New Roman"/>
          <w:b w:val="false"/>
          <w:i w:val="false"/>
          <w:color w:val="000000"/>
          <w:sz w:val="22"/>
        </w:rPr>
        <w:t> </w:t>
      </w:r>
      <w:r>
        <w:rPr>
          <w:rFonts w:ascii="Times New Roman" w:hAnsi="Times New Roman"/>
          <w:b w:val="false"/>
          <w:i w:val="false"/>
          <w:color w:val="000000"/>
          <w:sz w:val="22"/>
        </w:rPr>
        <w:t>When the superintendent presides over the reception of evidence at the hearing, the superintendent’s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superintendent does not preside at the reception of evidence, the presiding officer shall make a proposed decision. The proposed decision becomes the final decision of the division without further proceedings unless there is an appeal to, or review on motion of, the superintendent within the time provided in rule </w:t>
      </w:r>
      <w:hyperlink r:id="rId28">
        <w:r>
          <w:rPr>
            <w:rStyle w:val="Hyperlink"/>
            <w:rFonts w:ascii="Times New Roman" w:hAnsi="Times New Roman"/>
            <w:b w:val="false"/>
            <w:i w:val="false"/>
            <w:color w:val="000000"/>
            <w:sz w:val="22"/>
          </w:rPr>
          <w:t>22.27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189—22.27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superintendent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superintendent may initiate review of a proposed decision on the superintendent’s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credit union division.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superintendent may remand a case to the presiding officer for further hearing or may personally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division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superintendent may resolve the appeal on the briefs or provide an opportunity for oral argument. The superintendent may shorten or extend the briefing period as appropriate.</w:t>
      </w:r>
    </w:p>
    <w:p>
      <w:pPr>
        <w:spacing w:before="0" w:after="0"/>
        <w:ind w:left="120"/>
        <w:jc w:val="both"/>
      </w:pPr>
      <w:r>
        <w:rPr>
          <w:rFonts w:ascii="Times New Roman" w:hAnsi="Times New Roman"/>
          <w:b/>
          <w:i w:val="false"/>
          <w:color w:val="000000"/>
          <w:sz w:val="22"/>
        </w:rPr>
        <w:t>189—22.28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division decision on the existing record and whether, on the basis of the grounds enumerated in subrule </w:t>
      </w:r>
      <w:hyperlink r:id="rId29">
        <w:r>
          <w:rPr>
            <w:rStyle w:val="Hyperlink"/>
            <w:rFonts w:ascii="Times New Roman" w:hAnsi="Times New Roman"/>
            <w:b w:val="false"/>
            <w:i w:val="false"/>
            <w:color w:val="000000"/>
            <w:sz w:val="22"/>
          </w:rPr>
          <w:t>22.27(4)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credit union division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credit union division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division grants the application within 20 days after its filing.</w:t>
      </w:r>
    </w:p>
    <w:p>
      <w:pPr>
        <w:spacing w:before="0" w:after="0"/>
        <w:ind w:left="120"/>
        <w:jc w:val="both"/>
      </w:pPr>
      <w:r>
        <w:rPr>
          <w:rFonts w:ascii="Times New Roman" w:hAnsi="Times New Roman"/>
          <w:b/>
          <w:i w:val="false"/>
          <w:color w:val="000000"/>
          <w:sz w:val="22"/>
        </w:rPr>
        <w:t>189—22.29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division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credit union division for a stay of an order issued in that proceeding or for other temporary remedies, pending review by the division. The petition shall be filed with the notice of appeal and shall state the reasons justifying a stay or other temporary remedy. The superintendent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credit union division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superintendent shall consider the factors listed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division or any other party.</w:t>
      </w:r>
    </w:p>
    <w:p>
      <w:pPr>
        <w:spacing w:before="210" w:after="0"/>
        <w:ind w:left="120"/>
        <w:jc w:val="both"/>
      </w:pPr>
      <w:r>
        <w:rPr>
          <w:rFonts w:ascii="Times New Roman" w:hAnsi="Times New Roman"/>
          <w:b/>
          <w:i w:val="false"/>
          <w:color w:val="000000"/>
          <w:sz w:val="22"/>
        </w:rPr>
        <w:t>189—22.30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189—22.31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superintendent may issue a written order in compliance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21, to suspend a license in whole or in part, order the cessation of any continuing activity, order affirmative action, or take other action within the jurisdiction of the superintendent by emergency adjudicative order. Before issuing an emergency adjudicative order the superintendent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division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division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superintendent’s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division;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division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division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division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division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division proceedings are scheduled for completion. After issuance of an emergency adjudicative order, continuance of further division proceedings to a later date will be granted only in compelling circumstances upon application in writing.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10/19/84, Notice 7/18/84—published 11/7/84, effective 12/12/84]</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8/21/86—published 9/10/86, effective 8/21/86]</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10/28/87—published 11/18/87, effective 11/18/87]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 xml:space="preserve">[Rescinded </w:t>
      </w:r>
      <w:r>
        <w:rPr>
          <w:rFonts w:ascii="Times New Roman" w:hAnsi="Times New Roman"/>
          <w:b w:val="false"/>
          <w:i w:val="false"/>
          <w:color w:val="000000"/>
          <w:sz w:val="21"/>
        </w:rPr>
        <w:t>IAB 2/21/90</w:t>
      </w:r>
      <w:r>
        <w:rPr>
          <w:rFonts w:ascii="Times New Roman" w:hAnsi="Times New Roman"/>
          <w:b w:val="false"/>
          <w:i w:val="false"/>
          <w:color w:val="000000"/>
          <w:sz w:val="21"/>
        </w:rPr>
        <w:t>, effective 3/28/90]</w:t>
      </w:r>
    </w:p>
    <w:p>
      <w:pPr>
        <w:spacing w:before="0" w:after="0"/>
        <w:ind w:left="120"/>
        <w:jc w:val="center"/>
      </w:pPr>
      <w:r>
        <w:rPr>
          <w:rFonts w:ascii="Times New Roman" w:hAnsi="Times New Roman"/>
          <w:b w:val="false"/>
          <w:i w:val="false"/>
          <w:color w:val="000000"/>
          <w:sz w:val="21"/>
        </w:rPr>
        <w:t>[Filed 4/30/99, Notice 3/24/99—published 5/19/99, effective 6/23/99]</w:t>
      </w:r>
    </w:p>
    <w:p>
      <w:pPr>
        <w:pBdr>
          <w:bottom w:space="2"/>
        </w:pBdr>
        <w:spacing w:before="0" w:after="0"/>
        <w:ind w:left="120"/>
        <w:jc w:val="both"/>
      </w:pPr>
      <w:r>
        <w:rPr>
          <w:rFonts w:ascii="Times New Roman" w:hAnsi="Times New Roman"/>
          <w:b w:val="false"/>
          <w:i w:val="false"/>
          <w:color w:val="000000"/>
          <w:sz w:val="22"/>
        </w:rPr>
        <w:t>189—Chapter 14, “Contested Case Proceedings”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ac/rule/189.22.6.pdf" Type="http://schemas.openxmlformats.org/officeDocument/2006/relationships/hyperlink" Id="rId8"/>
    <Relationship TargetMode="External" Target="https://www.legis.iowa.gov/docs/iac/rule/189.22.6.pdf" Type="http://schemas.openxmlformats.org/officeDocument/2006/relationships/hyperlink" Id="rId9"/>
    <Relationship TargetMode="External" Target="https://www.legis.iowa.gov/docs/iac/rule/189.22.6.pdf" Type="http://schemas.openxmlformats.org/officeDocument/2006/relationships/hyperlink" Id="rId10"/>
    <Relationship TargetMode="External" Target="https://www.legis.iowa.gov/docs/ico/chapter/17A.17.pdf" Type="http://schemas.openxmlformats.org/officeDocument/2006/relationships/hyperlink" Id="rId11"/>
    <Relationship TargetMode="External" Target="https://www.legis.iowa.gov/docs/iac/rule/189.22.9.pdf" Type="http://schemas.openxmlformats.org/officeDocument/2006/relationships/hyperlink" Id="rId12"/>
    <Relationship TargetMode="External" Target="https://www.legis.iowa.gov/docs/iac/rule/189.22.23.pdf" Type="http://schemas.openxmlformats.org/officeDocument/2006/relationships/hyperlink" Id="rId13"/>
    <Relationship TargetMode="External" Target="https://www.legis.iowa.gov/docs/iac/rule/189.22.9.pdf" Type="http://schemas.openxmlformats.org/officeDocument/2006/relationships/hyperlink" Id="rId14"/>
    <Relationship TargetMode="External" Target="https://www.legis.iowa.gov/docs/iac/rule/189.22.25.pdf" Type="http://schemas.openxmlformats.org/officeDocument/2006/relationships/hyperlink" Id="rId15"/>
    <Relationship TargetMode="External" Target="https://www.legis.iowa.gov/docs/iac/rule/189.22.29.pdf" Type="http://schemas.openxmlformats.org/officeDocument/2006/relationships/hyperlink" Id="rId16"/>
    <Relationship TargetMode="External" Target="https://www.legis.iowa.gov/docs/ico/chapter/17A.16.pdf" Type="http://schemas.openxmlformats.org/officeDocument/2006/relationships/hyperlink" Id="rId17"/>
    <Relationship TargetMode="External" Target="https://www.legis.iowa.gov/docs/iac/rule/189.22.13.pdf" Type="http://schemas.openxmlformats.org/officeDocument/2006/relationships/hyperlink" Id="rId18"/>
    <Relationship TargetMode="External" Target="https://www.legis.iowa.gov/docs/iac/rule/189.22.16.pdf" Type="http://schemas.openxmlformats.org/officeDocument/2006/relationships/hyperlink" Id="rId19"/>
    <Relationship TargetMode="External" Target="https://www.legis.iowa.gov/docs/iac/rule/189.22.27.pdf" Type="http://schemas.openxmlformats.org/officeDocument/2006/relationships/hyperlink" Id="rId20"/>
    <Relationship TargetMode="External" Target="https://www.legis.iowa.gov/docs/iac/rule/189.22.25.pdf" Type="http://schemas.openxmlformats.org/officeDocument/2006/relationships/hyperlink" Id="rId21"/>
    <Relationship TargetMode="External" Target="https://www.legis.iowa.gov/docs/iac/rule/189.22.29.pdf" Type="http://schemas.openxmlformats.org/officeDocument/2006/relationships/hyperlink" Id="rId22"/>
    <Relationship TargetMode="External" Target="https://www.legis.iowa.gov/docs/iac/rule/189.22.9.pdf" Type="http://schemas.openxmlformats.org/officeDocument/2006/relationships/hyperlink" Id="rId23"/>
    <Relationship TargetMode="External" Target="https://www.legis.iowa.gov/docs/iac/rule/189.22.12.pdf" Type="http://schemas.openxmlformats.org/officeDocument/2006/relationships/hyperlink" Id="rId24"/>
    <Relationship TargetMode="External" Target="https://www.legis.iowa.gov/docs/iac/rule/189.22.23.pdf" Type="http://schemas.openxmlformats.org/officeDocument/2006/relationships/hyperlink" Id="rId25"/>
    <Relationship TargetMode="External" Target="https://www.legis.iowa.gov/docs/iac/rule/189.22.17.pdf" Type="http://schemas.openxmlformats.org/officeDocument/2006/relationships/hyperlink" Id="rId26"/>
    <Relationship TargetMode="External" Target="https://www.legis.iowa.gov/docs/ico/chapter/17A.13.pdf" Type="http://schemas.openxmlformats.org/officeDocument/2006/relationships/hyperlink" Id="rId27"/>
    <Relationship TargetMode="External" Target="https://www.legis.iowa.gov/docs/iac/rule/189.22.27.pdf" Type="http://schemas.openxmlformats.org/officeDocument/2006/relationships/hyperlink" Id="rId28"/>
    <Relationship TargetMode="External" Target="https://www.legis.iowa.gov/docs/iac/rule/189.22.27.pdf" Type="http://schemas.openxmlformats.org/officeDocument/2006/relationships/hyperlink" Id="rId29"/>
    <Relationship TargetMode="External" Target="https://www.legis.iowa.gov/docs/ico/chapter/17A.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