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PETITIONS FOR RULE MAKING</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189—20.1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Any person may file a petition for rule making with the division at Credit Union Division, Attn: Rules Coordinator, 200 East Grand, Suite 370, Des Moines, Iowa 50309-1827. A petition is deemed filed when it is received by that office. The division must provide the petitioner with a file-stamped copy of the petition if the petitioner provides the division an extra copy for this purpose. The petition must be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658"/>
        <w:gridCol w:w="1573"/>
        <w:gridCol w:w="3959"/>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COMMERCE</w:t>
            </w:r>
          </w:p>
          <w:p>
            <w:pPr>
              <w:spacing w:before="0" w:after="0"/>
              <w:ind w:left="160"/>
              <w:jc w:val="center"/>
            </w:pPr>
            <w:r>
              <w:rPr>
                <w:rFonts w:ascii="Times New Roman" w:hAnsi="Times New Roman"/>
                <w:b w:val="false"/>
                <w:i w:val="false"/>
                <w:color w:val="000000"/>
                <w:sz w:val="16"/>
              </w:rPr>
              <w:t>CREDIT UNION DIVISION</w:t>
            </w:r>
          </w:p>
        </w:tc>
      </w:tr>
      <w:tr>
        <w:trPr>
          <w:trHeight w:val="1275" w:hRule="atLeast"/>
        </w:trPr>
        <w:tc>
          <w:tcPr>
            <w:tcW w:w="5658"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(Name of Petitioner)</w:t>
            </w:r>
          </w:p>
          <w:p>
            <w:pPr>
              <w:spacing w:before="0" w:after="0"/>
              <w:ind w:left="160"/>
              <w:jc w:val="left"/>
            </w:pPr>
            <w:r>
              <w:rPr>
                <w:rFonts w:ascii="Times New Roman" w:hAnsi="Times New Roman"/>
                <w:b w:val="false"/>
                <w:i w:val="false"/>
                <w:color w:val="000000"/>
                <w:sz w:val="16"/>
              </w:rPr>
              <w:t>for the (adoption, amendment, or repeal)</w:t>
            </w:r>
          </w:p>
          <w:p>
            <w:pPr>
              <w:spacing w:before="0" w:after="0"/>
              <w:ind w:left="160"/>
              <w:jc w:val="left"/>
            </w:pPr>
            <w:r>
              <w:rPr>
                <w:rFonts w:ascii="Times New Roman" w:hAnsi="Times New Roman"/>
                <w:b w:val="false"/>
                <w:i w:val="false"/>
                <w:color w:val="000000"/>
                <w:sz w:val="16"/>
              </w:rPr>
              <w:t>of rules relating to (state subject matter).</w:t>
            </w:r>
          </w:p>
        </w:tc>
        <w:tc>
          <w:tcPr>
            <w:tcW w:w="157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10"/>
              </w:rPr>
              <w:t>}</w:t>
            </w:r>
          </w:p>
        </w:tc>
        <w:tc>
          <w:tcPr>
            <w:tcW w:w="3959"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division’s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petitioner for a meeting provided for by rule </w:t>
      </w:r>
      <w:hyperlink r:id="rId5">
        <w:r>
          <w:rPr>
            <w:rStyle w:val="Hyperlink"/>
            <w:rFonts w:ascii="Times New Roman" w:hAnsi="Times New Roman"/>
            <w:b w:val="false"/>
            <w:i w:val="false"/>
            <w:color w:val="000000"/>
            <w:sz w:val="22"/>
          </w:rPr>
          <w:t>20.4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It must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val="false"/>
          <w:color w:val="000000"/>
          <w:sz w:val="22"/>
        </w:rPr>
        <w:t>The division may deny a petition because it does not substantially conform to the required form.</w:t>
      </w:r>
    </w:p>
    <w:p>
      <w:pPr>
        <w:spacing w:before="210" w:after="0"/>
        <w:ind w:left="120"/>
        <w:jc w:val="both"/>
      </w:pPr>
      <w:r>
        <w:rPr>
          <w:rFonts w:ascii="Times New Roman" w:hAnsi="Times New Roman"/>
          <w:b/>
          <w:i w:val="false"/>
          <w:color w:val="000000"/>
          <w:sz w:val="22"/>
        </w:rPr>
        <w:t>189—20.2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division may request a brief from the petitioner or from any other person concerning the substance of the petition.</w:t>
      </w:r>
    </w:p>
    <w:p>
      <w:pPr>
        <w:spacing w:before="210" w:after="0"/>
        <w:ind w:left="120"/>
        <w:jc w:val="both"/>
      </w:pPr>
      <w:r>
        <w:rPr>
          <w:rFonts w:ascii="Times New Roman" w:hAnsi="Times New Roman"/>
          <w:b/>
          <w:i w:val="false"/>
          <w:color w:val="000000"/>
          <w:sz w:val="22"/>
        </w:rPr>
        <w:t>189—20.3</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 making may be made to Credit Union Division, Attn: Rules Coordinator, 200 East Grand, Suite 370, Des Moines, Iowa 50309-1827.</w:t>
      </w:r>
    </w:p>
    <w:p>
      <w:pPr>
        <w:spacing w:before="0" w:after="0"/>
        <w:ind w:left="120"/>
        <w:jc w:val="both"/>
      </w:pPr>
      <w:r>
        <w:rPr>
          <w:rFonts w:ascii="Times New Roman" w:hAnsi="Times New Roman"/>
          <w:b/>
          <w:i w:val="false"/>
          <w:color w:val="000000"/>
          <w:sz w:val="22"/>
        </w:rPr>
        <w:t>189—20.4</w:t>
      </w:r>
      <w:r>
        <w:rPr>
          <w:rFonts w:ascii="Times New Roman" w:hAnsi="Times New Roman"/>
          <w:b/>
          <w:i w:val="false"/>
          <w:color w:val="000000"/>
          <w:sz w:val="22"/>
        </w:rPr>
        <w:t xml:space="preserve">(17A) </w:t>
      </w:r>
      <w:r>
        <w:rPr>
          <w:rFonts w:ascii="Times New Roman" w:hAnsi="Times New Roman"/>
          <w:b/>
          <w:i w:val="false"/>
          <w:color w:val="000000"/>
          <w:sz w:val="22"/>
        </w:rPr>
        <w:t xml:space="preserve">Division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division must submit a copy of the petition and any accompanying brief to the administrative rules coordinator and to the administrative rules review committee. Upon request by petitioner in the petition, the division must schedule a brief and informal meeting between the petitioner and the division, a member of the division, or a member of the staff of the division, to discuss the petition. The division may request the petitioner to submit additional information or argument concerning the petition. The division may also solicit comments from any person on the substance of the petition. Also, comments on the substance of the petition may be submitted to the division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division must, in writing, deny the petition, and notify petitioner of its action and the specific grounds for the denial, or grant the petition and notify petitioner that it has instituted rule-making proceedings on the subject of the petition. Petitioner shall be deemed notified of the denial or grant of the petition on the date when the division mails or delivers the required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required form does not preclude the filing of a new petition on the same subject that seeks to eliminate the grounds for the division’s rejection of the petition.</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4/30/99, Notice 3/24/99—published 5/19/99, effective 6/23/99]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9.20.4.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