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TRANSPORTATION AND WAREHOUSE</w:t>
      </w:r>
    </w:p>
    <w:p>
      <w:pPr>
        <w:spacing w:before="0" w:after="0"/>
        <w:ind w:left="120"/>
        <w:jc w:val="center"/>
      </w:pPr>
      <w:r>
        <w:rPr>
          <w:rFonts w:ascii="Times New Roman" w:hAnsi="Times New Roman"/>
          <w:b w:val="false"/>
          <w:i w:val="false"/>
          <w:color w:val="000000"/>
          <w:sz w:val="14"/>
        </w:rPr>
        <w:t>[Ch 8, IAC 7/1/75 rescinded 3/7/79; see 5.8, 5.9]</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185—8.1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alcoholic beverages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means the classification of an alcoholic liquor product, such as rum, vodka, or whiskey.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alcoholic beverages commission established in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“Delist” </w:t>
      </w:r>
      <w:r>
        <w:rPr>
          <w:rFonts w:ascii="Times New Roman" w:hAnsi="Times New Roman"/>
          <w:b w:val="false"/>
          <w:i w:val="false"/>
          <w:color w:val="000000"/>
          <w:sz w:val="22"/>
        </w:rPr>
        <w:t>means the removal of products from the division’s product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alcoholic beverages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w:t>
      </w:r>
      <w:r>
        <w:rPr>
          <w:rFonts w:ascii="Times New Roman" w:hAnsi="Times New Roman"/>
          <w:b w:val="false"/>
          <w:i w:val="false"/>
          <w:color w:val="000000"/>
          <w:sz w:val="22"/>
        </w:rPr>
        <w:t xml:space="preserve">means “alcoholic liquor” or “native distilled spirits” as defined in Iowa Code chapter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 manufacturer, distiller, or importer of alcoholic liquors or native distilled spirits shipping, selling, or having such alcoholic beverages brought into this state for resale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185—8.2</w:t>
      </w:r>
      <w:r>
        <w:rPr>
          <w:rFonts w:ascii="Times New Roman" w:hAnsi="Times New Roman"/>
          <w:b/>
          <w:i w:val="false"/>
          <w:color w:val="000000"/>
          <w:sz w:val="22"/>
        </w:rPr>
        <w:t xml:space="preserve">(123) </w:t>
      </w:r>
      <w:r>
        <w:rPr>
          <w:rFonts w:ascii="Times New Roman" w:hAnsi="Times New Roman"/>
          <w:b/>
          <w:i w:val="false"/>
          <w:color w:val="000000"/>
          <w:sz w:val="22"/>
        </w:rPr>
        <w:t xml:space="preserve">Listing classifications. </w:t>
      </w:r>
      <w:r>
        <w:rPr>
          <w:rFonts w:ascii="Times New Roman" w:hAnsi="Times New Roman"/>
          <w:b w:val="false"/>
          <w:i w:val="false"/>
          <w:color w:val="000000"/>
          <w:sz w:val="22"/>
        </w:rPr>
        <w:t>Each product available for sale by the division shall be assigned to one of the following listing classifications. Suppliers may indicate their preferred listing classification; however, final determination shall be made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Permanent. </w:t>
      </w:r>
      <w:r>
        <w:rPr>
          <w:rFonts w:ascii="Times New Roman" w:hAnsi="Times New Roman"/>
          <w:b w:val="false"/>
          <w:i w:val="false"/>
          <w:color w:val="000000"/>
          <w:sz w:val="22"/>
        </w:rPr>
        <w:t>Products with a permanent listing shall be available for sale by the division on an ongoing basis, unless otherwise delisted or temporarily out of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Temporary. </w:t>
      </w:r>
      <w:r>
        <w:rPr>
          <w:rFonts w:ascii="Times New Roman" w:hAnsi="Times New Roman"/>
          <w:b w:val="false"/>
          <w:i w:val="false"/>
          <w:color w:val="000000"/>
          <w:sz w:val="22"/>
        </w:rPr>
        <w:t>Temporary listings shall have a duration determined by the administrator or the administrator’s designee, and the duration may be extended at the discretion of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Size extension. </w:t>
      </w:r>
      <w:r>
        <w:rPr>
          <w:rFonts w:ascii="Times New Roman" w:hAnsi="Times New Roman"/>
          <w:b w:val="false"/>
          <w:i w:val="false"/>
          <w:color w:val="000000"/>
          <w:sz w:val="22"/>
        </w:rPr>
        <w:t>A supplier shall submit a listing request for each additional size of a product that is currently listed for sale. All listed sizes of the product should meet sales criteria established by the administrator, or the administrator’s designee, in order for a size extension listing request to be approved as a permanent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Special order. </w:t>
      </w:r>
      <w:r>
        <w:rPr>
          <w:rFonts w:ascii="Times New Roman" w:hAnsi="Times New Roman"/>
          <w:b w:val="false"/>
          <w:i w:val="false"/>
          <w:color w:val="000000"/>
          <w:sz w:val="22"/>
        </w:rPr>
        <w:t>Products that are not currently listed for sale by the division may be purchased through a special order placed with the supplier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 special order will be placed with the division by a class “E” retail alcohol licensee. Special order requests shall be submitted electronically or in a manner prescribed by the administrator or the administrator’s designee. The administrator, or the administrator’s designee, may reject a special order request if it is determined that the requested product is in violation of the requirements set out in subparagraphs </w:t>
      </w:r>
      <w:hyperlink r:id="rId7">
        <w:r>
          <w:rPr>
            <w:rStyle w:val="Hyperlink"/>
            <w:rFonts w:ascii="Times New Roman" w:hAnsi="Times New Roman"/>
            <w:b w:val="false"/>
            <w:i w:val="false"/>
            <w:color w:val="000000"/>
            <w:sz w:val="22"/>
          </w:rPr>
          <w:t>8.3(3)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8.3(3)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division accepts a special order request, the request shall be forwarded on to the supplier of the product. The supplier may approve or deny the special order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special order products shall be sold and distributed by the division to class “E” retail alcohol licensees by the case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order products are not eligible for return to the division by a class “E” retail alcohol licensee without approval from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Special order on hand. </w:t>
      </w:r>
      <w:r>
        <w:rPr>
          <w:rFonts w:ascii="Times New Roman" w:hAnsi="Times New Roman"/>
          <w:b w:val="false"/>
          <w:i w:val="false"/>
          <w:color w:val="000000"/>
          <w:sz w:val="22"/>
        </w:rPr>
        <w:t>Products that are frequently sold as special orders but do not qualify for permanent listing may be listed as special order on hand.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classification as a special order on-hand listing, a product must have been previously sold as a special order and meet sales criteria established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that have been delisted shall not be eligible to be moved from permanent listing to special order on-hand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Highly allocated. </w:t>
      </w:r>
      <w:r>
        <w:rPr>
          <w:rFonts w:ascii="Times New Roman" w:hAnsi="Times New Roman"/>
          <w:b w:val="false"/>
          <w:i w:val="false"/>
          <w:color w:val="000000"/>
          <w:sz w:val="22"/>
        </w:rPr>
        <w:t>Highly allocated products are products of a limited supply as determined by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may be sold via a lottery system as deemed necessary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shall not be available for sale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r>
        <w:rPr>
          <w:rFonts w:ascii="Times New Roman" w:hAnsi="Times New Roman"/>
          <w:b w:val="false"/>
          <w:i w:val="false"/>
          <w:color w:val="000000"/>
          <w:sz w:val="22"/>
        </w:rPr>
        <w:t>Quantities of listed products available for purchase by class “E” retail alcohol licensees may be limited at the administrator’s, or the administrator’s designee’s,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185—8.3</w:t>
      </w:r>
      <w:r>
        <w:rPr>
          <w:rFonts w:ascii="Times New Roman" w:hAnsi="Times New Roman"/>
          <w:b/>
          <w:i w:val="false"/>
          <w:color w:val="000000"/>
          <w:sz w:val="22"/>
        </w:rPr>
        <w:t xml:space="preserve">(123) </w:t>
      </w:r>
      <w:r>
        <w:rPr>
          <w:rFonts w:ascii="Times New Roman" w:hAnsi="Times New Roman"/>
          <w:b/>
          <w:i w:val="false"/>
          <w:color w:val="000000"/>
          <w:sz w:val="22"/>
        </w:rPr>
        <w:t xml:space="preserve">Listing requests. </w:t>
      </w:r>
      <w:r>
        <w:rPr>
          <w:rFonts w:ascii="Times New Roman" w:hAnsi="Times New Roman"/>
          <w:b w:val="false"/>
          <w:i w:val="false"/>
          <w:color w:val="000000"/>
          <w:sz w:val="22"/>
        </w:rPr>
        <w:t>The supplier of a product to be sold by the division shall submit a listing request for consideration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Submitting a listing request. </w:t>
      </w:r>
      <w:r>
        <w:rPr>
          <w:rFonts w:ascii="Times New Roman" w:hAnsi="Times New Roman"/>
          <w:b w:val="false"/>
          <w:i w:val="false"/>
          <w:color w:val="000000"/>
          <w:sz w:val="22"/>
        </w:rPr>
        <w:t>Listing requests shall be submitted electronically or in a manner prescribed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Listing request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request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control state code number for the product issued by the National Alcohol Beverage Control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supplier’s f.o.b.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cost per case. The case price shall be evenly divisible by the number of bottles in the case. The supplier shall determine the number of bottles that constitute a case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product’s case quantity size and standard of fill.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image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weights and dimensions of the product container, case, and pallet.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product’s 14-digit shipping container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or the administrator’s designee, may require a supplier to conduct a listing presentation for new products that have not been previously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criteria used to determine whether a listing request shall be approved or denied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product violates the code of responsible practices established by the Distilled Spirits Council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potential of the product to unduly jeopardize the welfare, health, peace, morals, or safety of the people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or the administrator’s designee, shall approve or deny a listing request not more than 20 business days from the date the listing request was submitted. Suppliers shall be notified of the decision in writing delivered electronically or in a manner prescribed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to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supplier may appeal the denial of a listing request by the administrator’s designee to the administrator by filing a notice of appeal within 30 days of the date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in writing and shall specify the specific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affirm, reverse, or modify the denial of the listing request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to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administrator denies a listing request or affirms the denial of a listing request by the administrator’s designee, the supplier may appeal the administrator’s decision by filing a notice of appeal with the commission within 30 days of the date of the administrator’s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in writing and shall specify the specific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have discretion as to whether to hear the appeal. If the commission chooses to hear the appeal, it shall be heard at the next scheduled commission meeting or a special meeting called for by the commission chairperson, the administrator, or at least three members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commission reverses the decision of the administrator, the listing request shall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commission affirms the administrator’s decision or chooses not to hear the appeal, the listing request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decision shall constitute final agency action for the purposes of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listing request. </w:t>
      </w:r>
      <w:r>
        <w:rPr>
          <w:rFonts w:ascii="Times New Roman" w:hAnsi="Times New Roman"/>
          <w:b w:val="false"/>
          <w:i w:val="false"/>
          <w:color w:val="000000"/>
          <w:sz w:val="22"/>
        </w:rPr>
        <w:t>If a listing request for a product is denied, a new listing request for the product may be submitted by the supplier not less than three months after the denial date of the original listing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Moratorium. </w:t>
      </w:r>
      <w:r>
        <w:rPr>
          <w:rFonts w:ascii="Times New Roman" w:hAnsi="Times New Roman"/>
          <w:b w:val="false"/>
          <w:i w:val="false"/>
          <w:color w:val="000000"/>
          <w:sz w:val="22"/>
        </w:rPr>
        <w:t>The administrator, or the administrator’s designee, may implement a moratorium on new permanent listing requests. The duration of the moratorium period shall be determined by the administrator or the administrator’s designee. The administrator, or the administrator’s designee, may allow a supplier to trade out a permanently listed product for a new product during a moratorium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185—8.4</w:t>
      </w:r>
      <w:r>
        <w:rPr>
          <w:rFonts w:ascii="Times New Roman" w:hAnsi="Times New Roman"/>
          <w:b/>
          <w:i w:val="false"/>
          <w:color w:val="000000"/>
          <w:sz w:val="22"/>
        </w:rPr>
        <w:t xml:space="preserve">(123) </w:t>
      </w:r>
      <w:r>
        <w:rPr>
          <w:rFonts w:ascii="Times New Roman" w:hAnsi="Times New Roman"/>
          <w:b/>
          <w:i w:val="false"/>
          <w:color w:val="000000"/>
          <w:sz w:val="22"/>
        </w:rPr>
        <w:t xml:space="preserve">Shipment of product to the division. </w:t>
      </w:r>
      <w:r>
        <w:rPr>
          <w:rFonts w:ascii="Times New Roman" w:hAnsi="Times New Roman"/>
          <w:b w:val="false"/>
          <w:i w:val="false"/>
          <w:color w:val="000000"/>
          <w:sz w:val="22"/>
        </w:rPr>
        <w:t>Shipments of product intended for sale by the division shall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shipments into the state. </w:t>
      </w:r>
      <w:r>
        <w:rPr>
          <w:rFonts w:ascii="Times New Roman" w:hAnsi="Times New Roman"/>
          <w:b w:val="false"/>
          <w:i w:val="false"/>
          <w:color w:val="000000"/>
          <w:sz w:val="22"/>
        </w:rPr>
        <w:t xml:space="preserve">Product shipments shall only be made into the state of Iowa by suppliers.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locations. </w:t>
      </w:r>
      <w:r>
        <w:rPr>
          <w:rFonts w:ascii="Times New Roman" w:hAnsi="Times New Roman"/>
          <w:b w:val="false"/>
          <w:i w:val="false"/>
          <w:color w:val="000000"/>
          <w:sz w:val="22"/>
        </w:rPr>
        <w:t>Product shipments shall only be made to a state warehouse or to receiving points designated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Pallet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shipped to the division shall be on securely stretch-wrapped pallets that are in good repair. The administrator, or the administrator’s designee, may establish additional requirements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shipped to the division on slip sheets shall not be accepted by the division and shall be returned to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Case 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case of product shipped to the division shall include a case code label placed on an end panel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code label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 state code number issued by the National Alcohol Beverage Control Association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 and corresponding barcode.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14-digit shipping container code and corresponding barcode. The shipping container code and barcode shall meet the minimum requirements established by the American National Standards Institute and the International Organization for Standardization.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Bottle deposit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products intended for resale by the division shall meet the requirements of Iowa Code section </w:t>
      </w:r>
      <w:hyperlink r:id="rId10">
        <w:r>
          <w:rPr>
            <w:rStyle w:val="Hyperlink"/>
            <w:rFonts w:ascii="Times New Roman" w:hAnsi="Times New Roman"/>
            <w:b w:val="false"/>
            <w:i w:val="false"/>
            <w:color w:val="000000"/>
            <w:sz w:val="22"/>
          </w:rPr>
          <w:t>455C.5</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Products that do not meet the requirements shall not be made available for sale until the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Suppliers may purchase bottle deposit refund stickers from the division. The cost of the stickers to suppliers shall not exceed the division’s cost of producing and distributing the stickers.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color w:val="000000"/>
          <w:sz w:val="22"/>
        </w:rPr>
        <w:t xml:space="preserve">Special handling charges. </w:t>
      </w:r>
      <w:r>
        <w:rPr>
          <w:rFonts w:ascii="Times New Roman" w:hAnsi="Times New Roman"/>
          <w:b w:val="false"/>
          <w:i w:val="false"/>
          <w:color w:val="000000"/>
          <w:sz w:val="22"/>
        </w:rPr>
        <w:t xml:space="preserve">Product shipments that do not meet the requirements of subrule </w:t>
      </w:r>
      <w:hyperlink r:id="rId12">
        <w:r>
          <w:rPr>
            <w:rStyle w:val="Hyperlink"/>
            <w:rFonts w:ascii="Times New Roman" w:hAnsi="Times New Roman"/>
            <w:b w:val="false"/>
            <w:i w:val="false"/>
            <w:color w:val="000000"/>
            <w:sz w:val="22"/>
          </w:rPr>
          <w:t>8.4(3)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8.4(4)</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8.4(5)</w:t>
        </w:r>
      </w:hyperlink>
      <w:r>
        <w:rPr>
          <w:rFonts w:ascii="Times New Roman" w:hAnsi="Times New Roman"/>
          <w:b w:val="false"/>
          <w:i w:val="false"/>
          <w:color w:val="000000"/>
          <w:sz w:val="22"/>
        </w:rPr>
        <w:t xml:space="preserve"> shall result in the assessment of special handling charges against the supplier in an amount not to exceed the division’s actual cost to bring the shipments into compliance. The division’s actual cost shall be determined using the negotiated hourly rate of the third party the division has contracted with for warehousing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185—8.5</w:t>
      </w:r>
      <w:r>
        <w:rPr>
          <w:rFonts w:ascii="Times New Roman" w:hAnsi="Times New Roman"/>
          <w:b/>
          <w:i w:val="false"/>
          <w:color w:val="000000"/>
          <w:sz w:val="22"/>
        </w:rPr>
        <w:t xml:space="preserve">(123) </w:t>
      </w:r>
      <w:r>
        <w:rPr>
          <w:rFonts w:ascii="Times New Roman" w:hAnsi="Times New Roman"/>
          <w:b/>
          <w:i w:val="false"/>
          <w:color w:val="000000"/>
          <w:sz w:val="22"/>
        </w:rPr>
        <w:t xml:space="preserve">Inventory levels. </w:t>
      </w:r>
      <w:r>
        <w:rPr>
          <w:rFonts w:ascii="Times New Roman" w:hAnsi="Times New Roman"/>
          <w:b w:val="false"/>
          <w:i w:val="false"/>
          <w:color w:val="000000"/>
          <w:sz w:val="22"/>
        </w:rPr>
        <w:t>The administrator, or the administrator’s designee, shall establish maximum and minimum inventory levels for each listed product. Maximum and minimum inventory levels may be adjusted at the discretion of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Purchase orders. </w:t>
      </w:r>
      <w:r>
        <w:rPr>
          <w:rFonts w:ascii="Times New Roman" w:hAnsi="Times New Roman"/>
          <w:b w:val="false"/>
          <w:i w:val="false"/>
          <w:color w:val="000000"/>
          <w:sz w:val="22"/>
        </w:rPr>
        <w:t>Suppliers shall submit purchase orders to the division electronically, or in a manner prescribed by the administrator or the administrator’s designee, as needed to maintain appropriate inventory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Maximum inventory level exception. </w:t>
      </w:r>
      <w:r>
        <w:rPr>
          <w:rFonts w:ascii="Times New Roman" w:hAnsi="Times New Roman"/>
          <w:b w:val="false"/>
          <w:i w:val="false"/>
          <w:color w:val="000000"/>
          <w:sz w:val="22"/>
        </w:rPr>
        <w:t>A supplier may request from the division an exception to the established maximum inventory level for a product. Requests for a maximum inventory level exception shall be submitted to the division electronically or in a manner prescribed by the administrator or the administrator’s designee. The administrator, or the administrator’s designee, shall approve or deny the request, and the supplier shall be notified of the decision in writing delivered either electronically or in a manner prescribed by the administrator or the administrator’s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185—8.6</w:t>
      </w:r>
      <w:r>
        <w:rPr>
          <w:rFonts w:ascii="Times New Roman" w:hAnsi="Times New Roman"/>
          <w:b/>
          <w:i w:val="false"/>
          <w:color w:val="000000"/>
          <w:sz w:val="22"/>
        </w:rPr>
        <w:t xml:space="preserve">(123) </w:t>
      </w:r>
      <w:r>
        <w:rPr>
          <w:rFonts w:ascii="Times New Roman" w:hAnsi="Times New Roman"/>
          <w:b/>
          <w:i w:val="false"/>
          <w:color w:val="000000"/>
          <w:sz w:val="22"/>
        </w:rPr>
        <w:t xml:space="preserve">Pricing.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Permanent price changes. </w:t>
      </w:r>
      <w:r>
        <w:rPr>
          <w:rFonts w:ascii="Times New Roman" w:hAnsi="Times New Roman"/>
          <w:b w:val="false"/>
          <w:i w:val="false"/>
          <w:color w:val="000000"/>
          <w:sz w:val="22"/>
        </w:rPr>
        <w:t>Suppliers may make permanent price changes to the case cost of products in any listing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at which permanent price changes may be made shall be determined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price changes shall be submitted electronically, or in a manner prescribed by the administrator or the administrator’s designee,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Temporary price reductions. </w:t>
      </w:r>
      <w:r>
        <w:rPr>
          <w:rFonts w:ascii="Times New Roman" w:hAnsi="Times New Roman"/>
          <w:b w:val="false"/>
          <w:i w:val="false"/>
          <w:color w:val="000000"/>
          <w:sz w:val="22"/>
        </w:rPr>
        <w:t xml:space="preserve">Suppliers may make temporary price reductions to the case cost of products with a permanent or temporary listing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with a listing classification of special order, special order on hand, or highly allocated shall not be eligible for temporary price reductions.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price reductions shall become effective as determined by the administrator or the administrator’s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price reductions shall be submitted electronically, or in a manner prescribed by the administrator or the administrator’s designee,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Price lists. </w:t>
      </w:r>
      <w:r>
        <w:rPr>
          <w:rFonts w:ascii="Times New Roman" w:hAnsi="Times New Roman"/>
          <w:b w:val="false"/>
          <w:i w:val="false"/>
          <w:color w:val="000000"/>
          <w:sz w:val="22"/>
        </w:rPr>
        <w:t xml:space="preserve">The division shall publish a price list electronically on a monthly basis showing the price to be paid by class “E” retail alcohol licensees for each brand, variety, and category of product available for sale by the division. The price list shall be published on the division’s website at </w:t>
      </w:r>
      <w:hyperlink r:id="rId15">
        <w:r>
          <w:rPr>
            <w:rStyle w:val="Hyperlink"/>
            <w:rFonts w:ascii="Times New Roman" w:hAnsi="Times New Roman"/>
            <w:b w:val="false"/>
            <w:i w:val="false"/>
            <w:color w:val="000000"/>
            <w:sz w:val="22"/>
            <w:u w:val="single"/>
          </w:rPr>
          <w:t>shop.iowaabd.com</w:t>
        </w:r>
      </w:hyperlink>
      <w:r>
        <w:rPr>
          <w:rFonts w:ascii="Times New Roman" w:hAnsi="Times New Roman"/>
          <w:b w:val="false"/>
          <w:i w:val="false"/>
          <w:color w:val="000000"/>
          <w:sz w:val="22"/>
        </w:rPr>
        <w:t xml:space="preserve"> and may be distributed to class “E” retail alcohol licensees as deemed necessary by the administrator or the administrator’s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185—8.7</w:t>
      </w:r>
      <w:r>
        <w:rPr>
          <w:rFonts w:ascii="Times New Roman" w:hAnsi="Times New Roman"/>
          <w:b/>
          <w:i w:val="false"/>
          <w:color w:val="000000"/>
          <w:sz w:val="22"/>
        </w:rPr>
        <w:t xml:space="preserve">(123) </w:t>
      </w:r>
      <w:r>
        <w:rPr>
          <w:rFonts w:ascii="Times New Roman" w:hAnsi="Times New Roman"/>
          <w:b/>
          <w:i w:val="false"/>
          <w:color w:val="000000"/>
          <w:sz w:val="22"/>
        </w:rPr>
        <w:t xml:space="preserve">Delisting. </w:t>
      </w:r>
      <w:r>
        <w:rPr>
          <w:rFonts w:ascii="Times New Roman" w:hAnsi="Times New Roman"/>
          <w:b w:val="false"/>
          <w:i w:val="false"/>
          <w:color w:val="000000"/>
          <w:sz w:val="22"/>
        </w:rPr>
        <w:t>Listed products that do not meet sales guidelines established by the administrator, or the administrator’s designee, may be delisted. The frequency of delisting shall be determined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Suppliers of delisted products shall be notified of the decision in writing delivered electronically or in a manner prescribed by the administrator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to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supplier may appeal the delisting of a product by the administrator’s designee to the administrator by filing a notice of appeal within 30 days of the date of delisting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appeal shall specify the specific findings or conclusions to which exception is taken, the relief sought, and the grounds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affirm, reverse, or modify the delisting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to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administrator delists a product, or if the administrator affirms a delisting by the administrator’s designee, the supplier may appeal the administrator’s decision by filing a notice of appeal with the commission within 30 days of the date of the administrator’s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specify the specific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have discretion as to whether to hear the appeal. If the commission chooses to hear the appeal, it shall be heard at the next scheduled commission meeting or a special meeting called for by the commission chairperson, the administrator, or at least three members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reverses the decision of the administrator, the product shall remain listed under terms established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commission affirms the administrator’s decision, or chooses not to hear the appeal, the product shall be delisted.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decision shall constitute final agency action for the purposes of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Removal of delisted products. </w:t>
      </w:r>
      <w:r>
        <w:rPr>
          <w:rFonts w:ascii="Times New Roman" w:hAnsi="Times New Roman"/>
          <w:b w:val="false"/>
          <w:i w:val="false"/>
          <w:color w:val="000000"/>
          <w:sz w:val="22"/>
        </w:rPr>
        <w:t>Delisted products shall be removed from the division’s warehouse by the supplier or by the supplier’s agent or employee within a time frame established by the administrator or the administrator’s designee. A supplier may authorize the division to destroy a delisted product in lieu of removal of the product by the supplier from the division’s warehouse. New listing requests submitted by a supplier shall not be considered by the division until all of the supplier’s delisted product has been removed from the division’s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delisted product for listing. </w:t>
      </w:r>
      <w:r>
        <w:rPr>
          <w:rFonts w:ascii="Times New Roman" w:hAnsi="Times New Roman"/>
          <w:b w:val="false"/>
          <w:i w:val="false"/>
          <w:color w:val="000000"/>
          <w:sz w:val="22"/>
        </w:rPr>
        <w:t>If a product in a permanent listing classification is delisted, a new listing request for the product may be submitted not less than six months after the date the product was removed from the warehouse.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185—8.8</w:t>
      </w:r>
      <w:r>
        <w:rPr>
          <w:rFonts w:ascii="Times New Roman" w:hAnsi="Times New Roman"/>
          <w:b/>
          <w:i w:val="false"/>
          <w:color w:val="000000"/>
          <w:sz w:val="22"/>
        </w:rPr>
        <w:t xml:space="preserve">(123) </w:t>
      </w:r>
      <w:r>
        <w:rPr>
          <w:rFonts w:ascii="Times New Roman" w:hAnsi="Times New Roman"/>
          <w:b/>
          <w:i w:val="false"/>
          <w:color w:val="000000"/>
          <w:sz w:val="22"/>
        </w:rPr>
        <w:t xml:space="preserve">Barrel programs. </w:t>
      </w:r>
      <w:r>
        <w:rPr>
          <w:rFonts w:ascii="Times New Roman" w:hAnsi="Times New Roman"/>
          <w:b w:val="false"/>
          <w:i w:val="false"/>
          <w:color w:val="000000"/>
          <w:sz w:val="22"/>
        </w:rPr>
        <w:t>A supplier may offer a barrel program, allowing a class “E” retail alcohol licensee to purchase the bottled contents of a barrel-aged product along with the aging barrel.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val="false"/>
          <w:color w:val="000000"/>
          <w:sz w:val="22"/>
        </w:rPr>
        <w:t>Barrel programs shall be uniformly offered to all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may sample barrel-aged products pursuant to rule </w:t>
      </w:r>
      <w:hyperlink r:id="rId17">
        <w:r>
          <w:rPr>
            <w:rStyle w:val="Hyperlink"/>
            <w:rFonts w:ascii="Times New Roman" w:hAnsi="Times New Roman"/>
            <w:b w:val="false"/>
            <w:i w:val="false"/>
            <w:color w:val="000000"/>
            <w:sz w:val="22"/>
          </w:rPr>
          <w:t>185—16.8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w:t>
      </w:r>
      <w:r>
        <w:rPr>
          <w:rFonts w:ascii="Times New Roman" w:hAnsi="Times New Roman"/>
          <w:b w:val="false"/>
          <w:i w:val="false"/>
          <w:color w:val="000000"/>
          <w:sz w:val="22"/>
        </w:rPr>
        <w:t> </w:t>
      </w:r>
      <w:r>
        <w:rPr>
          <w:rFonts w:ascii="Times New Roman" w:hAnsi="Times New Roman"/>
          <w:b w:val="false"/>
          <w:i w:val="false"/>
          <w:color w:val="000000"/>
          <w:sz w:val="22"/>
        </w:rPr>
        <w:t>Barrel program products shall be classified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w:t>
      </w:r>
      <w:r>
        <w:rPr>
          <w:rFonts w:ascii="Times New Roman" w:hAnsi="Times New Roman"/>
          <w:b w:val="false"/>
          <w:i w:val="false"/>
          <w:color w:val="000000"/>
          <w:sz w:val="22"/>
        </w:rPr>
        <w:t> </w:t>
      </w:r>
      <w:r>
        <w:rPr>
          <w:rFonts w:ascii="Times New Roman" w:hAnsi="Times New Roman"/>
          <w:b w:val="false"/>
          <w:i w:val="false"/>
          <w:color w:val="000000"/>
          <w:sz w:val="22"/>
        </w:rPr>
        <w:t>Products purchased as part of a barrel program shall be sold and delivered to the individual class “E” retail alcohol licensee that placed the special order. Barrel program special orders and products shall not be split between two or more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w:t>
      </w:r>
      <w:r>
        <w:rPr>
          <w:rFonts w:ascii="Times New Roman" w:hAnsi="Times New Roman"/>
          <w:b w:val="false"/>
          <w:i w:val="false"/>
          <w:color w:val="000000"/>
          <w:sz w:val="22"/>
        </w:rPr>
        <w:t> </w:t>
      </w:r>
      <w:r>
        <w:rPr>
          <w:rFonts w:ascii="Times New Roman" w:hAnsi="Times New Roman"/>
          <w:b w:val="false"/>
          <w:i w:val="false"/>
          <w:color w:val="000000"/>
          <w:sz w:val="22"/>
        </w:rPr>
        <w:t>Aging barrels sold in conjunction with a barrel program shall bear conspicuous and substantial advertising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w:t>
      </w:r>
      <w:r>
        <w:rPr>
          <w:rFonts w:ascii="Times New Roman" w:hAnsi="Times New Roman"/>
          <w:b w:val="false"/>
          <w:i w:val="false"/>
          <w:color w:val="000000"/>
          <w:sz w:val="22"/>
        </w:rPr>
        <w:t> </w:t>
      </w:r>
      <w:r>
        <w:rPr>
          <w:rFonts w:ascii="Times New Roman" w:hAnsi="Times New Roman"/>
          <w:b w:val="false"/>
          <w:i w:val="false"/>
          <w:color w:val="000000"/>
          <w:sz w:val="22"/>
        </w:rPr>
        <w:t>Bottles from a barrel program may bear customized labels.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123.10(2)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123.10(3)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123.10(6)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123.10(10)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12/14/72]</w:t>
      </w:r>
    </w:p>
    <w:p>
      <w:pPr>
        <w:spacing w:before="0" w:after="0"/>
        <w:ind w:left="120"/>
        <w:jc w:val="center"/>
      </w:pPr>
      <w:r>
        <w:rPr>
          <w:rFonts w:ascii="Times New Roman" w:hAnsi="Times New Roman"/>
          <w:b w:val="false"/>
          <w:i w:val="false"/>
          <w:color w:val="000000"/>
          <w:sz w:val="21"/>
        </w:rPr>
        <w:t>[Filed 2/16/79, Notice 12/27/78—published 3/7/79, effective 4/16/79]</w:t>
      </w:r>
    </w:p>
    <w:p>
      <w:pPr>
        <w:spacing w:before="0" w:after="0"/>
        <w:ind w:left="120"/>
        <w:jc w:val="center"/>
      </w:pPr>
      <w:r>
        <w:rPr>
          <w:rFonts w:ascii="Times New Roman" w:hAnsi="Times New Roman"/>
          <w:b w:val="false"/>
          <w:i w:val="false"/>
          <w:color w:val="000000"/>
          <w:sz w:val="21"/>
        </w:rPr>
        <w:t>[Filed 8/15/80, Notice 5/28/80—published 9/3/80, effective 10/8/80]</w:t>
      </w:r>
    </w:p>
    <w:p>
      <w:pPr>
        <w:spacing w:before="0" w:after="0"/>
        <w:ind w:left="120"/>
        <w:jc w:val="center"/>
      </w:pPr>
      <w:r>
        <w:rPr>
          <w:rFonts w:ascii="Times New Roman" w:hAnsi="Times New Roman"/>
          <w:b w:val="false"/>
          <w:i w:val="false"/>
          <w:color w:val="000000"/>
          <w:sz w:val="21"/>
        </w:rPr>
        <w:t>[Filed emergency 5/19/82—published 6/9/82, effective 5/19/82]</w:t>
      </w:r>
    </w:p>
    <w:p>
      <w:pPr>
        <w:spacing w:before="0" w:after="0"/>
        <w:ind w:left="120"/>
        <w:jc w:val="center"/>
      </w:pPr>
      <w:r>
        <w:rPr>
          <w:rFonts w:ascii="Times New Roman" w:hAnsi="Times New Roman"/>
          <w:b w:val="false"/>
          <w:i w:val="false"/>
          <w:color w:val="000000"/>
          <w:sz w:val="21"/>
        </w:rPr>
        <w:t>[Filed 3/9/84, Notice 1/4/84—published 3/28/84, effective 5/2/84]</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6/11/86—published 7/2/86, effective 7/1/86]</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5910C</w:t>
      </w:r>
      <w:r>
        <w:rPr>
          <w:rFonts w:ascii="Times New Roman" w:hAnsi="Times New Roman"/>
          <w:b w:val="false"/>
          <w:i w:val="false"/>
          <w:color w:val="000000"/>
          <w:sz w:val="21"/>
        </w:rPr>
        <w:t xml:space="preserve"> (Notice ARC 5734C, IAB 6/30/21)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7073C</w:t>
      </w:r>
      <w:r>
        <w:rPr>
          <w:rFonts w:ascii="Times New Roman" w:hAnsi="Times New Roman"/>
          <w:b w:val="false"/>
          <w:i w:val="false"/>
          <w:color w:val="000000"/>
          <w:sz w:val="21"/>
        </w:rPr>
        <w:t xml:space="preserve"> (Notice ARC 7049C, IAB 7/26/23)</w:t>
      </w:r>
      <w:r>
        <w:rPr>
          <w:rFonts w:ascii="Times New Roman" w:hAnsi="Times New Roman"/>
          <w:b w:val="false"/>
          <w:i w:val="false"/>
          <w:color w:val="000000"/>
          <w:sz w:val="21"/>
        </w:rPr>
        <w:t>, IAB 9/20/23, effective 10/25/23]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ac/rule/185.8.3.pdf" Type="http://schemas.openxmlformats.org/officeDocument/2006/relationships/hyperlink" Id="rId7"/>
    <Relationship TargetMode="External" Target="https://www.legis.iowa.gov/docs/iac/rule/185.8.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455C.5.pdf" Type="http://schemas.openxmlformats.org/officeDocument/2006/relationships/hyperlink" Id="rId10"/>
    <Relationship TargetMode="External" Target="https://www.legis.iowa.gov/docs/iac/rule/567.107.3.pdf" Type="http://schemas.openxmlformats.org/officeDocument/2006/relationships/hyperlink" Id="rId11"/>
    <Relationship TargetMode="External" Target="https://www.legis.iowa.gov/docs/iac/rule/185.8.4.pdf" Type="http://schemas.openxmlformats.org/officeDocument/2006/relationships/hyperlink" Id="rId12"/>
    <Relationship TargetMode="External" Target="https://www.legis.iowa.gov/docs/iac/rule/185.8.4.pdf" Type="http://schemas.openxmlformats.org/officeDocument/2006/relationships/hyperlink" Id="rId13"/>
    <Relationship TargetMode="External" Target="https://www.legis.iowa.gov/docs/iac/rule/185.8.4.pdf" Type="http://schemas.openxmlformats.org/officeDocument/2006/relationships/hyperlink" Id="rId14"/>
    <Relationship TargetMode="External" Target="http://shop.iowaabd.com"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ac/rule/185.16.8.pdf" Type="http://schemas.openxmlformats.org/officeDocument/2006/relationships/hyperlink" Id="rId17"/>
    <Relationship TargetMode="External" Target="https://www.legis.iowa.gov/docs/ico/chapter/123.10.pdf" Type="http://schemas.openxmlformats.org/officeDocument/2006/relationships/hyperlink" Id="rId18"/>
    <Relationship TargetMode="External" Target="https://www.legis.iowa.gov/docs/ico/chapter/123.10.pdf" Type="http://schemas.openxmlformats.org/officeDocument/2006/relationships/hyperlink" Id="rId19"/>
    <Relationship TargetMode="External" Target="https://www.legis.iowa.gov/docs/ico/chapter/123.10.pdf" Type="http://schemas.openxmlformats.org/officeDocument/2006/relationships/hyperlink" Id="rId20"/>
    <Relationship TargetMode="External" Target="https://www.legis.iowa.gov/docs/ico/chapter/123.10.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